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0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использовании кассового оборудования, не соответствующего</w:t>
        <w:br/>
        <w:t>новым требованиям, с 1 июля 2025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Министерство по налогам и сборам обращает внимание, что в соответствии с требованиями абзаца четвертого пункта 17 и абзаца пятого пункта 25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(в редакции, вступающей в силу с 01.07.2025, далее - Положение № 924/16)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1 июля 2025 г. не допускается использование кассового оборудования,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соответствующего требованиям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или постановлением Министерства по налогам и сборам Республики Беларусь от 29.03.2018 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(в редакции, вступающей в силу с 01.07.2025).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Субъекты хозяйствования, которые будут продолжать после 1 июля 2025 г. использовать кассовое оборудование, не соответствующее новым требованиям, подлежат привлечению к административной ответственности, предусмотренной частью первой статьи 13.15 Кодекса Республики Беларусь об административных правонарушениях, которая предусматривает наложение штрафа до пятидесяти базовых величин, на индивидуального предпринимателя - до ста базовых величин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(4 200 рублей),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 на юридическое лицо - до двухсот базовых величин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(8 400 рублей).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Учитывая изложенное, обращаем внимание, что размер возможного штрафа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 сопоставим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 стоимостью обновления либо приобретения нового кассового оборудования, в связи с чем предлагаем субъектам хозяйствования, не осуществившим мероприятия по обновлению (замене) кассового оборудования, незамедлительно принять меры по исполнению требований Положения № 924/16 и в возможно короткие сроки приобрести (заменить) свое кассовое оборудование.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7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Справочно. На 26.05.2025 в Республике Беларусь допущены к использованию 76 моделей (модификаций) кассового оборудования, соответствующего новым требованиям, в том числе: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11" w:lineRule="auto"/>
        <w:ind w:left="0" w:right="0" w:firstLine="7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46 моделей кассовых суммирующих аппаратов, 30 из которых поддерживают реализацию маркированных товаров;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30 моделей программных касс, 29 из которых поддерживают реализацию маркированных товаров.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Актуальная информация о доработке и стоимости кассового оборудования размещена на официальном сайте МНС по ссылке </w:t>
      </w:r>
      <w:r>
        <w:fldChar w:fldCharType="begin"/>
      </w:r>
      <w:r>
        <w:rPr/>
        <w:instrText> HYPERLINK "https://nalog.gov.by/tax_control/payment_control/documents/"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https://nalog.gov.by/tax_control/payment_control/documents/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Дополнительно сообщаем, что поскольку с 1 июля 2025 г. использование кассового оборудования, не соответствующего новым требованиям, находится вне правового поля, Министерством по налогам и сборам может быть рассмотрен вопрос об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удаленной блокировке такого кассового оборудования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его отключению от системы контроля кассового оборудования после наступления указанной даты.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Учитывая, что на 26 мая 2025 г. уже установили и используют кассовое оборудование 94,6 тысяч субъектов хозяйствования,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по переходу на кассовое оборудование, соответствующее новым требованиям, переноситься не будут!</w:t>
      </w:r>
    </w:p>
    <w:sectPr>
      <w:headerReference w:type="default" r:id="rId5"/>
      <w:headerReference w:type="even" r:id="rId6"/>
      <w:footnotePr>
        <w:pos w:val="pageBottom"/>
        <w:numFmt w:val="decimal"/>
        <w:numRestart w:val="continuous"/>
      </w:footnotePr>
      <w:pgSz w:w="11900" w:h="16840"/>
      <w:pgMar w:top="1124" w:right="796" w:bottom="1474" w:left="164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4027805</wp:posOffset>
              </wp:positionH>
              <wp:positionV relativeFrom="page">
                <wp:posOffset>494030</wp:posOffset>
              </wp:positionV>
              <wp:extent cx="54610" cy="882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7.15000000000003pt;margin-top:38.899999999999999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OFFICE MNS</dc:creator>
  <cp:keywords/>
</cp:coreProperties>
</file>