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spacing w:after="0" w:line="240" w:lineRule="auto"/>
        <w:ind w:right="4960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>
        <w:rPr>
          <w:rStyle w:val="word-wrapper"/>
          <w:rFonts w:ascii="Times New Roman" w:eastAsiaTheme="majorEastAsia" w:hAnsi="Times New Roman" w:cs="Times New Roman"/>
          <w:b/>
          <w:sz w:val="30"/>
          <w:szCs w:val="30"/>
          <w:shd w:val="clear" w:color="auto" w:fill="FFFFFF"/>
        </w:rPr>
        <w:t>Обязанности субъектов хозяйствования, совершающих оборот товаров, подлежащих прослеживаемости</w:t>
      </w:r>
    </w:p>
    <w:p>
      <w:pPr>
        <w:spacing w:before="100" w:beforeAutospacing="1" w:after="0" w:line="240" w:lineRule="auto"/>
        <w:ind w:firstLine="709"/>
        <w:jc w:val="both"/>
        <w:rPr>
          <w:rStyle w:val="word-wrapper"/>
          <w:rFonts w:ascii="Times New Roman" w:eastAsiaTheme="majorEastAsia" w:hAnsi="Times New Roman" w:cs="Times New Roman"/>
          <w:sz w:val="28"/>
          <w:szCs w:val="28"/>
        </w:rPr>
      </w:pPr>
      <w:r>
        <w:rPr>
          <w:rStyle w:val="word-wrapper"/>
          <w:rFonts w:ascii="Times New Roman" w:eastAsiaTheme="majorEastAsia" w:hAnsi="Times New Roman" w:cs="Times New Roman"/>
          <w:sz w:val="28"/>
          <w:szCs w:val="28"/>
        </w:rPr>
        <w:t>Инспекция Министерства по налогам и сборам по Быховскому району напоминает.</w:t>
      </w:r>
    </w:p>
    <w:p>
      <w:pPr>
        <w:spacing w:before="120" w:after="0" w:line="240" w:lineRule="auto"/>
        <w:ind w:firstLine="709"/>
        <w:jc w:val="both"/>
        <w:rPr>
          <w:rStyle w:val="word-wrapper"/>
          <w:rFonts w:ascii="Times New Roman" w:eastAsiaTheme="majorEastAsia" w:hAnsi="Times New Roman" w:cs="Times New Roman"/>
          <w:sz w:val="28"/>
          <w:szCs w:val="28"/>
          <w:shd w:val="clear" w:color="auto" w:fill="FFFFFF"/>
        </w:rPr>
      </w:pPr>
      <w:r>
        <w:rPr>
          <w:rStyle w:val="word-wrapper"/>
          <w:rFonts w:ascii="Times New Roman" w:eastAsiaTheme="majorEastAsia" w:hAnsi="Times New Roman" w:cs="Times New Roman"/>
          <w:sz w:val="28"/>
          <w:szCs w:val="28"/>
        </w:rPr>
        <w:t xml:space="preserve">Указом </w:t>
      </w:r>
      <w:r>
        <w:rPr>
          <w:rStyle w:val="word-wrapper"/>
          <w:rFonts w:ascii="Times New Roman" w:eastAsiaTheme="majorEastAsia" w:hAnsi="Times New Roman" w:cs="Times New Roman"/>
          <w:sz w:val="28"/>
          <w:szCs w:val="28"/>
          <w:shd w:val="clear" w:color="auto" w:fill="FFFFFF"/>
        </w:rPr>
        <w:t>Президента Республики Беларусь от 29.12.2020 № 496 «О прослеживаемости товаров» (далее – Указ № 496) на территории Республики Беларусь внедрен механизм прослеживаемости товаров.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Style w:val="word-wrapper"/>
          <w:rFonts w:ascii="Times New Roman" w:eastAsiaTheme="majorEastAsia" w:hAnsi="Times New Roman" w:cs="Times New Roman"/>
          <w:sz w:val="28"/>
          <w:szCs w:val="28"/>
          <w:shd w:val="clear" w:color="auto" w:fill="FFFFFF"/>
        </w:rPr>
        <w:t>Перечень товаров, сведения об обороте которых являются предметом прослеживаемости, приведен в приложении 2 к п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остановлению Совета Министров Республики Беларусь от 23.04.2021 № 250 «О реализации Указа Президента Республики Беларусь от 29 декабря 2020 г. № 496» </w:t>
      </w:r>
      <w:bookmarkStart w:id="0" w:name="_Hlk195520629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(далее – Перечень)</w:t>
      </w:r>
      <w:bookmarkEnd w:id="0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>
      <w:pPr>
        <w:spacing w:before="240" w:after="0" w:line="240" w:lineRule="auto"/>
        <w:jc w:val="both"/>
        <w:rPr>
          <w:rFonts w:ascii="Times New Roman" w:eastAsia="Times New Roman" w:hAnsi="Times New Roman" w:cs="Times New Roman"/>
          <w:iCs/>
          <w:color w:val="1A1A1A"/>
          <w:sz w:val="30"/>
          <w:szCs w:val="30"/>
          <w:lang w:eastAsia="ru-RU"/>
        </w:rPr>
      </w:pPr>
      <w:r>
        <w:rPr>
          <w:rFonts w:ascii="Times New Roman" w:hAnsi="Times New Roman" w:cs="Times New Roman"/>
          <w:b/>
          <w:bCs/>
          <w:i/>
          <w:sz w:val="30"/>
          <w:szCs w:val="30"/>
        </w:rPr>
        <w:t xml:space="preserve">Справочно: </w:t>
      </w:r>
      <w:r>
        <w:rPr>
          <w:rFonts w:ascii="Times New Roman" w:hAnsi="Times New Roman" w:cs="Times New Roman"/>
          <w:i/>
          <w:sz w:val="30"/>
          <w:szCs w:val="30"/>
        </w:rPr>
        <w:t xml:space="preserve">в настоящее время </w:t>
      </w:r>
      <w:r>
        <w:rPr>
          <w:rFonts w:ascii="Times New Roman" w:hAnsi="Times New Roman" w:cs="Times New Roman"/>
          <w:b/>
          <w:bCs/>
          <w:i/>
          <w:sz w:val="30"/>
          <w:szCs w:val="30"/>
        </w:rPr>
        <w:t>в Перечень включены такие товарные группы как</w:t>
      </w:r>
      <w:r>
        <w:rPr>
          <w:rFonts w:ascii="Times New Roman" w:hAnsi="Times New Roman" w:cs="Times New Roman"/>
          <w:i/>
          <w:sz w:val="30"/>
          <w:szCs w:val="30"/>
        </w:rPr>
        <w:t>: х</w:t>
      </w:r>
      <w:r>
        <w:rPr>
          <w:rStyle w:val="word-wrapper"/>
          <w:rFonts w:ascii="Times New Roman" w:eastAsiaTheme="majorEastAsia" w:hAnsi="Times New Roman" w:cs="Times New Roman"/>
          <w:i/>
          <w:sz w:val="30"/>
          <w:szCs w:val="30"/>
          <w:shd w:val="clear" w:color="auto" w:fill="FFFFFF"/>
        </w:rPr>
        <w:t xml:space="preserve">олодильники и морозильники бытовые; шины и покрышки пневматические резиновые новые; велосипеды и велосипедные рамы; </w:t>
      </w:r>
      <w:r>
        <w:rPr>
          <w:rFonts w:ascii="Times New Roman" w:eastAsia="Times New Roman" w:hAnsi="Times New Roman" w:cs="Times New Roman"/>
          <w:i/>
          <w:color w:val="1A1A1A"/>
          <w:sz w:val="30"/>
          <w:szCs w:val="30"/>
          <w:lang w:eastAsia="ru-RU"/>
        </w:rPr>
        <w:t>стиральные машины; телевизоры; бытовые комбайны; мультиварки; посудомоечные машины; микроволновые печи; плиты и варочные поверхности; пылесосы; утюги; чайники; дрели; фены.</w:t>
      </w:r>
    </w:p>
    <w:p>
      <w:pPr>
        <w:pStyle w:val="il-text-indent095cm"/>
        <w:spacing w:before="240" w:beforeAutospacing="0" w:after="0" w:afterAutospacing="0"/>
        <w:ind w:firstLine="709"/>
        <w:jc w:val="both"/>
        <w:rPr>
          <w:color w:val="242424"/>
          <w:sz w:val="30"/>
          <w:szCs w:val="30"/>
        </w:rPr>
      </w:pPr>
      <w:r>
        <w:rPr>
          <w:rStyle w:val="word-wrapper"/>
          <w:b/>
          <w:bCs/>
          <w:color w:val="242424"/>
          <w:sz w:val="28"/>
          <w:szCs w:val="28"/>
        </w:rPr>
        <w:t>При осуществлении операций, связанных с оборотом товаров, включенных в перечень</w:t>
      </w:r>
      <w:r>
        <w:rPr>
          <w:rStyle w:val="word-wrapper"/>
          <w:color w:val="242424"/>
          <w:sz w:val="28"/>
          <w:szCs w:val="28"/>
        </w:rPr>
        <w:t>, у субъектов хозяйствования</w:t>
      </w:r>
      <w:r>
        <w:rPr>
          <w:rStyle w:val="word-wrapper"/>
          <w:b/>
          <w:bCs/>
          <w:color w:val="242424"/>
          <w:sz w:val="28"/>
          <w:szCs w:val="28"/>
        </w:rPr>
        <w:t xml:space="preserve"> возникает обязанность</w:t>
      </w:r>
      <w:r>
        <w:rPr>
          <w:rStyle w:val="word-wrapper"/>
          <w:color w:val="242424"/>
          <w:sz w:val="28"/>
          <w:szCs w:val="28"/>
        </w:rPr>
        <w:t xml:space="preserve"> </w:t>
      </w:r>
      <w:r>
        <w:rPr>
          <w:rStyle w:val="word-wrapper"/>
          <w:i/>
          <w:color w:val="242424"/>
          <w:sz w:val="28"/>
          <w:szCs w:val="28"/>
        </w:rPr>
        <w:t xml:space="preserve">(установлено пунктом 14 </w:t>
      </w:r>
      <w:r>
        <w:rPr>
          <w:i/>
          <w:sz w:val="28"/>
          <w:szCs w:val="28"/>
          <w:shd w:val="clear" w:color="auto" w:fill="FFFFFF"/>
        </w:rPr>
        <w:t>Положения о функционировании системы прослеживаемости товаров, утвержденного Указом № 496 (далее – Положение)</w:t>
      </w:r>
      <w:r>
        <w:rPr>
          <w:rStyle w:val="word-wrapper"/>
          <w:i/>
          <w:color w:val="242424"/>
          <w:sz w:val="28"/>
          <w:szCs w:val="28"/>
        </w:rPr>
        <w:t>)</w:t>
      </w:r>
      <w:r>
        <w:rPr>
          <w:rStyle w:val="word-wrapper"/>
          <w:color w:val="242424"/>
          <w:sz w:val="28"/>
          <w:szCs w:val="28"/>
        </w:rPr>
        <w:t>:</w:t>
      </w:r>
    </w:p>
    <w:p>
      <w:pPr>
        <w:pStyle w:val="il-text-indent095cm"/>
        <w:numPr>
          <w:ilvl w:val="0"/>
          <w:numId w:val="3"/>
        </w:numPr>
        <w:tabs>
          <w:tab w:val="left" w:pos="1134"/>
        </w:tabs>
        <w:spacing w:before="120" w:beforeAutospacing="0" w:after="0" w:afterAutospacing="0"/>
        <w:ind w:left="0" w:firstLine="709"/>
        <w:jc w:val="both"/>
        <w:rPr>
          <w:rStyle w:val="word-wrapper"/>
          <w:color w:val="242424"/>
          <w:sz w:val="28"/>
          <w:szCs w:val="28"/>
        </w:rPr>
      </w:pPr>
      <w:r>
        <w:rPr>
          <w:rStyle w:val="word-wrapper"/>
          <w:b/>
          <w:color w:val="242424"/>
          <w:sz w:val="28"/>
          <w:szCs w:val="28"/>
        </w:rPr>
        <w:t>использовать электронные накладные</w:t>
      </w:r>
      <w:r>
        <w:rPr>
          <w:rStyle w:val="word-wrapper"/>
          <w:color w:val="242424"/>
          <w:sz w:val="28"/>
          <w:szCs w:val="28"/>
        </w:rPr>
        <w:t>;</w:t>
      </w:r>
    </w:p>
    <w:p>
      <w:pPr>
        <w:pStyle w:val="il-text-indent095cm"/>
        <w:spacing w:before="60" w:beforeAutospacing="0" w:after="0" w:afterAutospacing="0" w:line="280" w:lineRule="exact"/>
        <w:jc w:val="both"/>
        <w:rPr>
          <w:b/>
          <w:bCs/>
          <w:i/>
          <w:iCs/>
          <w:sz w:val="28"/>
          <w:szCs w:val="28"/>
          <w:bdr w:val="none" w:sz="0" w:space="0" w:color="auto" w:frame="1"/>
        </w:rPr>
      </w:pPr>
      <w:r>
        <w:rPr>
          <w:b/>
          <w:bCs/>
          <w:i/>
          <w:iCs/>
          <w:sz w:val="28"/>
          <w:szCs w:val="28"/>
          <w:bdr w:val="none" w:sz="0" w:space="0" w:color="auto" w:frame="1"/>
        </w:rPr>
        <w:t>Справочно.</w:t>
      </w:r>
    </w:p>
    <w:p>
      <w:pPr>
        <w:pStyle w:val="il-text-indent095cm"/>
        <w:spacing w:before="0" w:beforeAutospacing="0" w:after="0" w:afterAutospacing="0" w:line="280" w:lineRule="exact"/>
        <w:ind w:firstLine="567"/>
        <w:jc w:val="both"/>
        <w:rPr>
          <w:rStyle w:val="word-wrapper"/>
          <w:i/>
          <w:color w:val="242424"/>
          <w:sz w:val="28"/>
          <w:szCs w:val="28"/>
        </w:rPr>
      </w:pPr>
      <w:r>
        <w:rPr>
          <w:rStyle w:val="word-wrapper"/>
          <w:i/>
          <w:color w:val="242424"/>
          <w:sz w:val="28"/>
          <w:szCs w:val="28"/>
        </w:rPr>
        <w:t>Требование об использовании электронных накладных не распространяется на операции, связанные с оборотом прослеживаемых товаров, указанные в</w:t>
      </w:r>
      <w:r>
        <w:rPr>
          <w:rStyle w:val="word-wrapper"/>
          <w:rFonts w:eastAsiaTheme="majorEastAsia"/>
          <w:i/>
          <w:sz w:val="28"/>
          <w:szCs w:val="28"/>
          <w:shd w:val="clear" w:color="auto" w:fill="FFFFFF"/>
        </w:rPr>
        <w:t xml:space="preserve"> пункте 17 </w:t>
      </w:r>
      <w:r>
        <w:rPr>
          <w:i/>
          <w:sz w:val="28"/>
          <w:szCs w:val="28"/>
          <w:shd w:val="clear" w:color="auto" w:fill="FFFFFF"/>
        </w:rPr>
        <w:t>Положения.</w:t>
      </w:r>
    </w:p>
    <w:p>
      <w:pPr>
        <w:pStyle w:val="il-text-indent095cm"/>
        <w:spacing w:before="0" w:beforeAutospacing="0" w:after="0" w:afterAutospacing="0" w:line="280" w:lineRule="exact"/>
        <w:ind w:firstLine="567"/>
        <w:jc w:val="both"/>
        <w:rPr>
          <w:i/>
          <w:iCs/>
          <w:sz w:val="28"/>
          <w:szCs w:val="28"/>
          <w:bdr w:val="none" w:sz="0" w:space="0" w:color="auto" w:frame="1"/>
        </w:rPr>
      </w:pPr>
      <w:r>
        <w:rPr>
          <w:i/>
          <w:iCs/>
          <w:sz w:val="28"/>
          <w:szCs w:val="28"/>
          <w:bdr w:val="none" w:sz="0" w:space="0" w:color="auto" w:frame="1"/>
        </w:rPr>
        <w:t>Порядок создания, передачи и получения электронных накладных определен постановлением Совета Министров Республики Беларусь от 30.12.2019 № 940 «О функционировании механизма электронных накладных».</w:t>
      </w:r>
    </w:p>
    <w:p>
      <w:pPr>
        <w:pStyle w:val="il-text-indent095cm"/>
        <w:spacing w:before="0" w:beforeAutospacing="0" w:after="0" w:afterAutospacing="0" w:line="280" w:lineRule="exact"/>
        <w:ind w:firstLine="567"/>
        <w:jc w:val="both"/>
        <w:rPr>
          <w:color w:val="242424"/>
          <w:sz w:val="28"/>
          <w:szCs w:val="28"/>
        </w:rPr>
      </w:pPr>
      <w:r>
        <w:rPr>
          <w:i/>
          <w:iCs/>
          <w:sz w:val="28"/>
          <w:szCs w:val="28"/>
          <w:bdr w:val="none" w:sz="0" w:space="0" w:color="auto" w:frame="1"/>
        </w:rPr>
        <w:t>Структура и формат электронных накладных и требования к процессу их создания, передачи, получения определены постановлением Национальной академии наук Беларуси, Министерства финансов Республики Беларусь, Министерства по налогам и сборам Республики Беларусь, Министерства связи и информатизации Республики Беларусь от 18.12.2023 № 9/75/35/26 «Об утверждении структуры и формата электронных накладных и иных документов при осуществлении взаимной торговли».</w:t>
      </w:r>
    </w:p>
    <w:p>
      <w:pPr>
        <w:pStyle w:val="il-text-indent095cm"/>
        <w:numPr>
          <w:ilvl w:val="0"/>
          <w:numId w:val="3"/>
        </w:numPr>
        <w:tabs>
          <w:tab w:val="left" w:pos="1134"/>
        </w:tabs>
        <w:spacing w:before="120" w:beforeAutospacing="0" w:after="0" w:afterAutospacing="0"/>
        <w:ind w:left="0" w:firstLine="709"/>
        <w:jc w:val="both"/>
        <w:rPr>
          <w:rStyle w:val="word-wrapper"/>
          <w:color w:val="242424"/>
          <w:sz w:val="28"/>
          <w:szCs w:val="28"/>
        </w:rPr>
      </w:pPr>
      <w:r>
        <w:rPr>
          <w:rStyle w:val="word-wrapper"/>
          <w:b/>
          <w:color w:val="242424"/>
          <w:sz w:val="28"/>
          <w:szCs w:val="28"/>
        </w:rPr>
        <w:t>вести количественный учет товаров в единицах измерения, подлежащих указанию в электронных накладных</w:t>
      </w:r>
      <w:r>
        <w:rPr>
          <w:rStyle w:val="word-wrapper"/>
          <w:color w:val="242424"/>
          <w:sz w:val="28"/>
          <w:szCs w:val="28"/>
        </w:rPr>
        <w:t>;</w:t>
      </w:r>
    </w:p>
    <w:p>
      <w:pPr>
        <w:pStyle w:val="il-text-indent095cm"/>
        <w:spacing w:before="60" w:beforeAutospacing="0" w:after="0" w:afterAutospacing="0" w:line="280" w:lineRule="exact"/>
        <w:jc w:val="both"/>
        <w:rPr>
          <w:b/>
          <w:bCs/>
          <w:iCs/>
          <w:sz w:val="28"/>
          <w:szCs w:val="28"/>
          <w:bdr w:val="none" w:sz="0" w:space="0" w:color="auto" w:frame="1"/>
        </w:rPr>
      </w:pPr>
      <w:r>
        <w:rPr>
          <w:b/>
          <w:bCs/>
          <w:iCs/>
          <w:sz w:val="28"/>
          <w:szCs w:val="28"/>
          <w:bdr w:val="none" w:sz="0" w:space="0" w:color="auto" w:frame="1"/>
        </w:rPr>
        <w:t>Справочно:</w:t>
      </w:r>
    </w:p>
    <w:p>
      <w:pPr>
        <w:pStyle w:val="il-text-indent095cm"/>
        <w:spacing w:before="0" w:beforeAutospacing="0" w:after="0" w:afterAutospacing="0" w:line="280" w:lineRule="exact"/>
        <w:ind w:firstLine="567"/>
        <w:jc w:val="both"/>
        <w:rPr>
          <w:rStyle w:val="word-wrapper"/>
          <w:i/>
          <w:color w:val="242424"/>
          <w:sz w:val="28"/>
          <w:szCs w:val="28"/>
        </w:rPr>
      </w:pPr>
      <w:r>
        <w:rPr>
          <w:rStyle w:val="word-wrapper"/>
          <w:i/>
          <w:color w:val="242424"/>
          <w:sz w:val="28"/>
          <w:szCs w:val="28"/>
        </w:rPr>
        <w:t>Такой учет должен обеспечивать:</w:t>
      </w:r>
    </w:p>
    <w:p>
      <w:pPr>
        <w:pStyle w:val="il-text-indent095cm"/>
        <w:spacing w:before="0" w:beforeAutospacing="0" w:after="0" w:afterAutospacing="0" w:line="280" w:lineRule="exact"/>
        <w:ind w:firstLine="567"/>
        <w:jc w:val="both"/>
        <w:rPr>
          <w:rStyle w:val="word-wrapper"/>
          <w:i/>
          <w:iCs/>
          <w:color w:val="242424"/>
          <w:sz w:val="28"/>
          <w:szCs w:val="28"/>
        </w:rPr>
      </w:pPr>
      <w:r>
        <w:rPr>
          <w:rStyle w:val="word-wrapper"/>
          <w:i/>
          <w:iCs/>
          <w:color w:val="242424"/>
          <w:sz w:val="28"/>
          <w:szCs w:val="28"/>
        </w:rPr>
        <w:t>- указание в электронных накладных информации о количестве и стоимости товаров в унифицированных единицах измерения;</w:t>
      </w:r>
    </w:p>
    <w:p>
      <w:pPr>
        <w:pStyle w:val="il-text-indent095cm"/>
        <w:spacing w:before="0" w:beforeAutospacing="0" w:after="0" w:afterAutospacing="0" w:line="280" w:lineRule="exact"/>
        <w:ind w:firstLine="567"/>
        <w:jc w:val="both"/>
        <w:rPr>
          <w:rStyle w:val="word-wrapper"/>
          <w:i/>
          <w:iCs/>
          <w:color w:val="242424"/>
          <w:sz w:val="28"/>
          <w:szCs w:val="28"/>
        </w:rPr>
      </w:pPr>
      <w:r>
        <w:rPr>
          <w:rStyle w:val="word-wrapper"/>
          <w:i/>
          <w:iCs/>
          <w:color w:val="242424"/>
          <w:sz w:val="28"/>
          <w:szCs w:val="28"/>
        </w:rPr>
        <w:t>- ведение учета поступления и выбытия товаров в разрезе строк приходных документов, по которым такой товар поступил в распоряжение субъекта хозяйствования.</w:t>
      </w:r>
    </w:p>
    <w:p>
      <w:pPr>
        <w:pStyle w:val="il-text-indent095cm"/>
        <w:numPr>
          <w:ilvl w:val="0"/>
          <w:numId w:val="3"/>
        </w:numPr>
        <w:shd w:val="clear" w:color="auto" w:fill="FFFFFF"/>
        <w:tabs>
          <w:tab w:val="left" w:pos="1134"/>
        </w:tabs>
        <w:spacing w:before="240" w:beforeAutospacing="0" w:after="0" w:afterAutospacing="0"/>
        <w:ind w:left="0" w:firstLine="709"/>
        <w:jc w:val="both"/>
        <w:rPr>
          <w:rStyle w:val="word-wrapper"/>
          <w:sz w:val="28"/>
          <w:szCs w:val="28"/>
        </w:rPr>
      </w:pPr>
      <w:r>
        <w:rPr>
          <w:rStyle w:val="word-wrapper"/>
          <w:rFonts w:eastAsiaTheme="majorEastAsia"/>
          <w:b/>
          <w:sz w:val="28"/>
          <w:szCs w:val="28"/>
          <w:shd w:val="clear" w:color="auto" w:fill="FFFFFF"/>
        </w:rPr>
        <w:lastRenderedPageBreak/>
        <w:t xml:space="preserve">представлять </w:t>
      </w:r>
      <w:r>
        <w:rPr>
          <w:rStyle w:val="word-wrapper"/>
          <w:rFonts w:eastAsiaTheme="majorEastAsia"/>
          <w:sz w:val="28"/>
          <w:szCs w:val="28"/>
          <w:shd w:val="clear" w:color="auto" w:fill="FFFFFF"/>
        </w:rPr>
        <w:t xml:space="preserve">в сроки, установленные </w:t>
      </w:r>
      <w:r>
        <w:rPr>
          <w:rStyle w:val="word-wrapper"/>
          <w:rFonts w:eastAsiaTheme="majorEastAsia"/>
          <w:sz w:val="28"/>
          <w:szCs w:val="28"/>
        </w:rPr>
        <w:t xml:space="preserve">пунктом 4 </w:t>
      </w:r>
      <w:r>
        <w:rPr>
          <w:rStyle w:val="word-wrapper"/>
          <w:rFonts w:eastAsiaTheme="majorEastAsia"/>
          <w:sz w:val="28"/>
          <w:szCs w:val="28"/>
          <w:shd w:val="clear" w:color="auto" w:fill="FFFFFF"/>
        </w:rPr>
        <w:t>Положения</w:t>
      </w:r>
      <w:r>
        <w:rPr>
          <w:rStyle w:val="10"/>
          <w:rFonts w:ascii="Times New Roman" w:hAnsi="Times New Roman" w:cs="Times New Roman"/>
          <w:b/>
          <w:color w:val="242424"/>
          <w:sz w:val="28"/>
          <w:szCs w:val="28"/>
        </w:rPr>
        <w:t xml:space="preserve"> </w:t>
      </w:r>
      <w:r>
        <w:rPr>
          <w:rStyle w:val="word-wrapper"/>
          <w:b/>
          <w:color w:val="242424"/>
          <w:sz w:val="28"/>
          <w:szCs w:val="28"/>
        </w:rPr>
        <w:t>полные и достоверные сведения</w:t>
      </w:r>
      <w:r>
        <w:rPr>
          <w:rStyle w:val="word-wrapper"/>
          <w:color w:val="242424"/>
          <w:sz w:val="28"/>
          <w:szCs w:val="28"/>
        </w:rPr>
        <w:t>, подлежащие включению</w:t>
      </w:r>
      <w:r>
        <w:rPr>
          <w:rStyle w:val="word-wrapper"/>
          <w:rFonts w:eastAsiaTheme="majorEastAsia"/>
          <w:sz w:val="28"/>
          <w:szCs w:val="28"/>
          <w:shd w:val="clear" w:color="auto" w:fill="FFFFFF"/>
        </w:rPr>
        <w:t xml:space="preserve"> в </w:t>
      </w:r>
      <w:bookmarkStart w:id="1" w:name="_Hlk195531461"/>
      <w:r>
        <w:rPr>
          <w:rStyle w:val="word-wrapper"/>
          <w:rFonts w:eastAsiaTheme="majorEastAsia"/>
          <w:sz w:val="28"/>
          <w:szCs w:val="28"/>
          <w:shd w:val="clear" w:color="auto" w:fill="FFFFFF"/>
        </w:rPr>
        <w:t>программный комплекс «Система прослеживаемости товаров»</w:t>
      </w:r>
      <w:bookmarkEnd w:id="1"/>
      <w:r>
        <w:rPr>
          <w:rStyle w:val="word-wrapper"/>
          <w:rFonts w:eastAsiaTheme="majorEastAsia"/>
          <w:sz w:val="28"/>
          <w:szCs w:val="28"/>
          <w:shd w:val="clear" w:color="auto" w:fill="FFFFFF"/>
        </w:rPr>
        <w:t xml:space="preserve"> (далее – ПК СПТ):</w:t>
      </w:r>
    </w:p>
    <w:p>
      <w:pPr>
        <w:pStyle w:val="il-text-indent095cm"/>
        <w:shd w:val="clear" w:color="auto" w:fill="FFFFFF"/>
        <w:spacing w:before="120" w:beforeAutospacing="0" w:after="0" w:afterAutospacing="0"/>
        <w:ind w:left="1134"/>
        <w:jc w:val="both"/>
        <w:rPr>
          <w:sz w:val="28"/>
          <w:szCs w:val="28"/>
        </w:rPr>
      </w:pPr>
      <w:r>
        <w:rPr>
          <w:rStyle w:val="word-wrapper"/>
          <w:rFonts w:eastAsiaTheme="minorEastAsia"/>
          <w:b/>
          <w:sz w:val="28"/>
          <w:szCs w:val="28"/>
        </w:rPr>
        <w:t>-</w:t>
      </w:r>
      <w:r>
        <w:rPr>
          <w:rStyle w:val="word-wrapper"/>
          <w:rFonts w:eastAsiaTheme="minorEastAsia"/>
          <w:b/>
          <w:sz w:val="28"/>
          <w:szCs w:val="28"/>
          <w:lang w:val="en-US"/>
        </w:rPr>
        <w:t> </w:t>
      </w:r>
      <w:r>
        <w:rPr>
          <w:rStyle w:val="word-wrapper"/>
          <w:rFonts w:eastAsiaTheme="minorEastAsia"/>
          <w:b/>
          <w:sz w:val="28"/>
          <w:szCs w:val="28"/>
        </w:rPr>
        <w:t>о произведенных товарах</w:t>
      </w:r>
      <w:r>
        <w:rPr>
          <w:rStyle w:val="word-wrapper"/>
          <w:rFonts w:eastAsiaTheme="minorEastAsia"/>
          <w:sz w:val="28"/>
          <w:szCs w:val="28"/>
        </w:rPr>
        <w:t xml:space="preserve">, включенных в </w:t>
      </w:r>
      <w:r>
        <w:rPr>
          <w:rStyle w:val="word-wrapper"/>
          <w:rFonts w:eastAsiaTheme="majorEastAsia"/>
          <w:sz w:val="28"/>
          <w:szCs w:val="28"/>
          <w:shd w:val="clear" w:color="auto" w:fill="FFFFFF"/>
        </w:rPr>
        <w:t>перечень (</w:t>
      </w:r>
      <w:r>
        <w:rPr>
          <w:rStyle w:val="word-wrapper"/>
          <w:rFonts w:eastAsiaTheme="majorEastAsia"/>
          <w:color w:val="242424"/>
          <w:sz w:val="28"/>
          <w:szCs w:val="28"/>
          <w:shd w:val="clear" w:color="auto" w:fill="FFFFFF"/>
        </w:rPr>
        <w:t>не позднее 20-го числа месяца, следующего за месяцем дня производства, но не позднее даты начала их оборота)</w:t>
      </w:r>
      <w:r>
        <w:rPr>
          <w:rStyle w:val="word-wrapper"/>
          <w:rFonts w:eastAsiaTheme="minorEastAsia"/>
          <w:sz w:val="28"/>
          <w:szCs w:val="28"/>
        </w:rPr>
        <w:t>;</w:t>
      </w:r>
    </w:p>
    <w:p>
      <w:pPr>
        <w:pStyle w:val="p-normal"/>
        <w:shd w:val="clear" w:color="auto" w:fill="FFFFFF"/>
        <w:spacing w:before="120" w:beforeAutospacing="0" w:after="0" w:afterAutospacing="0"/>
        <w:ind w:left="1134"/>
        <w:jc w:val="both"/>
        <w:rPr>
          <w:rStyle w:val="word-wrapper"/>
          <w:rFonts w:eastAsiaTheme="majorEastAsia"/>
          <w:b/>
          <w:sz w:val="28"/>
          <w:szCs w:val="28"/>
          <w:shd w:val="clear" w:color="auto" w:fill="FFFFFF"/>
        </w:rPr>
      </w:pPr>
      <w:r>
        <w:rPr>
          <w:rStyle w:val="word-wrapper"/>
          <w:rFonts w:eastAsiaTheme="minorEastAsia"/>
          <w:b/>
          <w:sz w:val="28"/>
          <w:szCs w:val="28"/>
        </w:rPr>
        <w:t>-</w:t>
      </w:r>
      <w:r>
        <w:rPr>
          <w:rStyle w:val="word-wrapper"/>
          <w:rFonts w:eastAsiaTheme="minorEastAsia"/>
          <w:b/>
          <w:sz w:val="28"/>
          <w:szCs w:val="28"/>
          <w:lang w:val="en-US"/>
        </w:rPr>
        <w:t> </w:t>
      </w:r>
      <w:r>
        <w:rPr>
          <w:rStyle w:val="word-wrapper"/>
          <w:rFonts w:eastAsiaTheme="minorEastAsia"/>
          <w:b/>
          <w:sz w:val="28"/>
          <w:szCs w:val="28"/>
        </w:rPr>
        <w:t>о ввезенных с территории государств – членов Евразийского экономического союза товарах</w:t>
      </w:r>
      <w:r>
        <w:rPr>
          <w:rStyle w:val="word-wrapper"/>
          <w:rFonts w:eastAsiaTheme="minorEastAsia"/>
          <w:sz w:val="28"/>
          <w:szCs w:val="28"/>
        </w:rPr>
        <w:t xml:space="preserve">, включенных в </w:t>
      </w:r>
      <w:r>
        <w:rPr>
          <w:rStyle w:val="word-wrapper"/>
          <w:rFonts w:eastAsiaTheme="majorEastAsia"/>
          <w:sz w:val="28"/>
          <w:szCs w:val="28"/>
          <w:shd w:val="clear" w:color="auto" w:fill="FFFFFF"/>
        </w:rPr>
        <w:t>перечень (</w:t>
      </w:r>
      <w:r>
        <w:rPr>
          <w:rStyle w:val="word-wrapper"/>
          <w:rFonts w:eastAsiaTheme="majorEastAsia"/>
          <w:color w:val="242424"/>
          <w:sz w:val="28"/>
          <w:szCs w:val="28"/>
          <w:shd w:val="clear" w:color="auto" w:fill="FFFFFF"/>
        </w:rPr>
        <w:t>не позднее 20-го числа месяца, следующего за месяцем дня принятия на учет ввезенных товаров, но не позднее даты начала их оборота)</w:t>
      </w:r>
      <w:r>
        <w:rPr>
          <w:rStyle w:val="word-wrapper"/>
          <w:rFonts w:eastAsiaTheme="majorEastAsia"/>
          <w:sz w:val="28"/>
          <w:szCs w:val="28"/>
          <w:shd w:val="clear" w:color="auto" w:fill="FFFFFF"/>
        </w:rPr>
        <w:t>;</w:t>
      </w:r>
    </w:p>
    <w:p>
      <w:pPr>
        <w:pStyle w:val="il-text-indent095cm"/>
        <w:spacing w:before="120" w:beforeAutospacing="0" w:after="0" w:afterAutospacing="0"/>
        <w:ind w:left="1134"/>
        <w:jc w:val="both"/>
        <w:rPr>
          <w:color w:val="242424"/>
          <w:sz w:val="28"/>
          <w:szCs w:val="28"/>
        </w:rPr>
      </w:pPr>
      <w:r>
        <w:rPr>
          <w:rStyle w:val="word-wrapper"/>
          <w:rFonts w:eastAsiaTheme="minorEastAsia"/>
          <w:b/>
          <w:sz w:val="28"/>
          <w:szCs w:val="28"/>
        </w:rPr>
        <w:t>-</w:t>
      </w:r>
      <w:r>
        <w:rPr>
          <w:rStyle w:val="word-wrapper"/>
          <w:rFonts w:eastAsiaTheme="minorEastAsia"/>
          <w:b/>
          <w:sz w:val="28"/>
          <w:szCs w:val="28"/>
          <w:lang w:val="en-US"/>
        </w:rPr>
        <w:t> </w:t>
      </w:r>
      <w:r>
        <w:rPr>
          <w:rStyle w:val="word-wrapper"/>
          <w:rFonts w:eastAsiaTheme="majorEastAsia"/>
          <w:b/>
          <w:sz w:val="28"/>
          <w:szCs w:val="28"/>
          <w:shd w:val="clear" w:color="auto" w:fill="FFFFFF"/>
        </w:rPr>
        <w:t xml:space="preserve">об остатках товаров, имеющихся на дату включения их </w:t>
      </w:r>
      <w:r>
        <w:rPr>
          <w:rStyle w:val="word-wrapper"/>
          <w:rFonts w:eastAsiaTheme="minorEastAsia"/>
          <w:b/>
          <w:sz w:val="28"/>
          <w:szCs w:val="28"/>
        </w:rPr>
        <w:t xml:space="preserve">в </w:t>
      </w:r>
      <w:r>
        <w:rPr>
          <w:rStyle w:val="word-wrapper"/>
          <w:rFonts w:eastAsiaTheme="majorEastAsia"/>
          <w:b/>
          <w:sz w:val="28"/>
          <w:szCs w:val="28"/>
          <w:shd w:val="clear" w:color="auto" w:fill="FFFFFF"/>
        </w:rPr>
        <w:t>перечень</w:t>
      </w:r>
      <w:r>
        <w:rPr>
          <w:rStyle w:val="word-wrapper"/>
          <w:rFonts w:eastAsiaTheme="majorEastAsia"/>
          <w:sz w:val="28"/>
          <w:szCs w:val="28"/>
          <w:shd w:val="clear" w:color="auto" w:fill="FFFFFF"/>
        </w:rPr>
        <w:t>, в случае установления Советом Министров Республики Беларусь необходимости представления таких сведений.</w:t>
      </w:r>
    </w:p>
    <w:p>
      <w:pPr>
        <w:spacing w:before="240"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30"/>
          <w:szCs w:val="30"/>
          <w:lang w:eastAsia="ru-RU"/>
        </w:rPr>
        <w:t xml:space="preserve">Не использование электронных накладных, не передача в установленные сроки в </w:t>
      </w:r>
      <w:r>
        <w:rPr>
          <w:rStyle w:val="word-wrapper"/>
          <w:rFonts w:ascii="Times New Roman" w:eastAsiaTheme="majorEastAsia" w:hAnsi="Times New Roman" w:cs="Times New Roman"/>
          <w:b/>
          <w:bCs/>
          <w:i/>
          <w:iCs/>
          <w:sz w:val="30"/>
          <w:szCs w:val="30"/>
          <w:shd w:val="clear" w:color="auto" w:fill="FFFFFF"/>
        </w:rPr>
        <w:t>ПК СПТ сведений либо о</w:t>
      </w:r>
      <w:r>
        <w:rPr>
          <w:rFonts w:ascii="Times New Roman" w:eastAsia="Times New Roman" w:hAnsi="Times New Roman" w:cs="Times New Roman"/>
          <w:b/>
          <w:bCs/>
          <w:i/>
          <w:iCs/>
          <w:sz w:val="30"/>
          <w:szCs w:val="30"/>
          <w:lang w:eastAsia="ru-RU"/>
        </w:rPr>
        <w:t>тражение недостоверной информации в электронных накладных, предоставленных сведениях влекут применение мер административной ответственности в соответствии со статьями 13.12 и 24.11 Кодекса Республики Беларусь об административных правонарушениях (далее – КоАП).</w:t>
      </w:r>
    </w:p>
    <w:p>
      <w:pPr>
        <w:spacing w:after="0" w:line="280" w:lineRule="exact"/>
        <w:jc w:val="both"/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</w:pPr>
      <w:bookmarkStart w:id="2" w:name="_Hlk239751557"/>
    </w:p>
    <w:p>
      <w:pPr>
        <w:spacing w:after="0" w:line="300" w:lineRule="exact"/>
        <w:jc w:val="both"/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Статья 13.12 КоАП</w:t>
      </w:r>
      <w:bookmarkEnd w:id="2"/>
    </w:p>
    <w:p>
      <w:pPr>
        <w:spacing w:after="0" w:line="300" w:lineRule="exact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Приобретение, хранение, использование в производстве, транспортировка, реализация товаров в нарушение установленного законодательством порядка (без наличия требуемых в предусмотренных законодательством случаях сопроводительных документов, документов, подтверждающих приобретение (поступление) либо отпуск товаров для реализации, или при наличии не соответствующих действительности документов) – влекут наложение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штрафа в размере до 30 базовых величин, а на индивидуального предпринимателя или юридическое лицо – до 50 % от стоимости предмета административного правонарушения, суммы выручки, полученной от реализации товаров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</w:p>
    <w:p>
      <w:pPr>
        <w:spacing w:before="240" w:after="0" w:line="300" w:lineRule="exact"/>
        <w:jc w:val="both"/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Статья 24.11 КоАП</w:t>
      </w:r>
    </w:p>
    <w:p>
      <w:pPr>
        <w:spacing w:after="0" w:line="300" w:lineRule="exact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Непредставление должностным или иным уполномоченным лицом или индивидуальным предпринимателем в установленные сроки документов, отчетов, сведений или иных материалов в случаях, когда обязанность их представления предусмотрена законодательными актами, либо представление таких документов, отчетов, сведений или иных материалов, содержащих заведомо недостоверные сведения, – влекут наложение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штрафа в размере до 20 базовых величин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</w:p>
    <w:p>
      <w:pPr>
        <w:spacing w:after="0" w:line="30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Примечание. Не является административным правонарушением, предусмотренным настоящей статьей, непредставление в установленный срок указанных документов, отчетов, сведений и (или) иных материалов, если просрочка представления составила не более трех рабочих дней.</w:t>
      </w:r>
    </w:p>
    <w:sectPr>
      <w:pgSz w:w="11906" w:h="16838"/>
      <w:pgMar w:top="737" w:right="567" w:bottom="73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B73E7F"/>
    <w:multiLevelType w:val="hybridMultilevel"/>
    <w:tmpl w:val="7E10CFB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520A2324"/>
    <w:multiLevelType w:val="hybridMultilevel"/>
    <w:tmpl w:val="46EC1B1C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60A72ED6"/>
    <w:multiLevelType w:val="multilevel"/>
    <w:tmpl w:val="049663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AE99204-5B44-4021-AE81-44E6297B4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after="0" w:line="480" w:lineRule="auto"/>
      <w:jc w:val="both"/>
      <w:outlineLvl w:val="2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ord-wrapper">
    <w:name w:val="word-wrapper"/>
    <w:basedOn w:val="a0"/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customStyle="1" w:styleId="il-text-indent095cm">
    <w:name w:val="il-text-indent_0_95cm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p-normal">
    <w:name w:val="p-normal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il-text-alignjustify">
    <w:name w:val="il-text-align_justify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08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0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84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96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6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27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4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497</TotalTime>
  <Pages>2</Pages>
  <Words>748</Words>
  <Characters>4268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Шендрикова Наталья Петровна</dc:creator>
  <cp:keywords/>
  <dc:description/>
  <cp:lastModifiedBy>Симченко Виктория Александровна</cp:lastModifiedBy>
  <cp:revision>65</cp:revision>
  <cp:lastPrinted>2026-09-08T07:03:00Z</cp:lastPrinted>
  <dcterms:created xsi:type="dcterms:W3CDTF">2026-09-04T07:34:00Z</dcterms:created>
  <dcterms:modified xsi:type="dcterms:W3CDTF">2026-09-24T06:59:00Z</dcterms:modified>
</cp:coreProperties>
</file>