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ind w:right="3400"/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К сведению субъектов хозяйствования, осуществляющих экспортно-импортные операции с товарами, подлежащими прослеживаемости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Инспекция МНС по Быховскому району напоминает субъектам хозяйствования, осуществляющим ввоз на территорию Республики Беларусь и (или) вывоз с территории Республики Беларусь товаров, подлежащие прослеживаемости, о необходимости соблюдения законодательства в сфере прослеживаемости товаров.</w:t>
      </w:r>
    </w:p>
    <w:p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Style w:val="word-wrapper"/>
          <w:rFonts w:ascii="Times New Roman" w:hAnsi="Times New Roman" w:cs="Times New Roman"/>
          <w:i/>
          <w:sz w:val="28"/>
          <w:szCs w:val="28"/>
        </w:rPr>
        <w:t>Перечень товаров, сведения об обороте которых являются предметом прослеживаемости установлен в приложении 2 к п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остановлению Совета Министров Республики Беларусь от 23.04.2021 № 250 «О реализации Указа Президента Республики Беларусь от 29 декабря 2020 г. № 496».</w:t>
      </w:r>
    </w:p>
    <w:p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Отгрузка прослеживаемых товаров, вывозимых с территории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оформляется организациями и индивидуальными предпринимателями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путем создания электронного сообщения и оформлением товарной накладной на бумажном носителе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(пункты 1 и 7 приложения к </w:t>
      </w:r>
      <w:r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 xml:space="preserve">Указ Президента Республики Беларусь от 29.12.2020 № 496 «О прослеживаемости товаров» и 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пункты 14 и 15 Положения о функционировании системы прослеживаемости товаров, утвержденного данным Указом (далее – Положение).</w:t>
      </w:r>
    </w:p>
    <w:p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этом обращаем внимание, что в целях включения в программный комплекс «Система прослеживаемости товаров» (далее – ПК СПТ) достоверных сведений информация о прослеживаемом товаре,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содержащаяся в электронном сообщении, должна соответствовать информации, указанной в товарной накладной.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случае обнаружения ошибок в электронном сообщении субъекту хозяйствования следует отменить электронное сообщение и создать новое электронное сообщение с корректными данными о вывозимом прослеживаемом товаре.</w:t>
      </w:r>
    </w:p>
    <w:p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Порядок создания, передачи и получения электронных накладных, электронных сообщений, определен постановлением Совета Министров Республики Беларусь от 30.12.2019 № 940 «О функционировании механизма электронных накладных».</w:t>
      </w:r>
    </w:p>
    <w:p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Структура и формат электронных накладных, электронных сообщений и требования к процессу их создания, передачи, получения определены постановлением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18.12.2023 № 9/75/35/26 «Об утверждении структуры и формата электронных накладных и иных документов при осуществлении взаимной торговли».</w:t>
      </w:r>
    </w:p>
    <w:p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lastRenderedPageBreak/>
        <w:t>При ввозе прослеживаемых товаров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на территорию Республики Беларусь </w:t>
      </w:r>
      <w:r>
        <w:rPr>
          <w:rStyle w:val="word-wrapper"/>
          <w:rFonts w:ascii="Times New Roman" w:hAnsi="Times New Roman" w:cs="Times New Roman"/>
          <w:sz w:val="30"/>
          <w:szCs w:val="30"/>
        </w:rPr>
        <w:t>из государств – членов Евразийского экономического союза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ЕАЭС)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организациям и индивидуальным предпринимателям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необходимо представить в налоговые органы по месту постановки на учет сведения о ввезенных с территории государств – членов ЕАЭС товарах, включенных в перечень товаров, сведения об обороте которых являются предметом прослеживаемости (далее – сведения о ввозе).</w:t>
      </w:r>
    </w:p>
    <w:p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ввозе прослеживаемых товаров из иных государств сведения о ввозе в ПК СПТ представляются Государственным таможенным комитетом.</w:t>
      </w:r>
    </w:p>
    <w:p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Субъекты хозяйствования обязаны представлять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полные и достоверные сведения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подлежащие включению в ПК СПТ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(пункт 14 Положения).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В случае 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выявления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некорректных данных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после передачи сведений о ввозе субъекту хозяйствования необходимо представить 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уточненные сведения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о ввозе. При этом в силу требований, предусмотренных абзацем третьим части первой пункта 14 Положения, представление уточненных сведений должно быть обеспечено 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в возможно короткий срок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Сведения о ввозе представляются не позднее 20-го числа месяца, следующего за месяцем принятия на учет ввезенных с территории иных государств - членов ЕАЭС товаров, но не позднее даты начала их оборота (часть четвертая пункта 4 Положения).</w:t>
      </w:r>
    </w:p>
    <w:p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Отражение недостоверной информации в электронном сообщении, товарной накладной о перемещаемом товаре, сведениях о ввозе либо не оформление электронного сообщения, не предоставление</w:t>
      </w:r>
      <w:r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 xml:space="preserve"> в установленные сроки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сведений о ввозе влекут применение мер административной ответственности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(статьи 13.12, 24.11 Кодекса Республики Беларусь об административных правонарушениях).</w:t>
      </w:r>
    </w:p>
    <w:p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Одновременно информируем, что </w:t>
      </w:r>
      <w:r>
        <w:rPr>
          <w:rFonts w:ascii="Times New Roman" w:eastAsia="Times New Roman" w:hAnsi="Times New Roman" w:cs="Times New Roman"/>
          <w:b/>
          <w:bCs/>
          <w:iCs/>
          <w:color w:val="1A1A1A"/>
          <w:sz w:val="30"/>
          <w:szCs w:val="30"/>
          <w:bdr w:val="none" w:sz="0" w:space="0" w:color="auto" w:frame="1"/>
          <w:lang w:eastAsia="ru-RU"/>
        </w:rPr>
        <w:t xml:space="preserve">с 1 сентября 2026 г. </w:t>
      </w: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на территории ЕАЭС введена прослеживаемость в отношении холодильников и морозильников бытовых, </w:t>
      </w:r>
      <w:bookmarkStart w:id="0" w:name="_Hlk239676419"/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стиральных машин и аппаратуры для приема телевизионной связи</w:t>
      </w:r>
      <w:bookmarkEnd w:id="0"/>
      <w:r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(решение Совета Евразийской экономической комиссии от 26.01.2026 № 5 «О перечне товаров, ввезенных на таможенную территорию Евразийского экономического союза, в отношении которых осуществляется прослеживаемость»).</w:t>
      </w:r>
    </w:p>
    <w:p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Представлять сведения об остатках перечисленных товаров в налоговые органы субъектам хозяйствования не требуется, поскольку указанные товарные группы уже подлежат прослеживаемости на территории Республики Беларусь – с 01.12.2021</w:t>
      </w:r>
      <w:r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(холодильники и морозильники бытовые) </w:t>
      </w: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и с 01.03.2026</w:t>
      </w:r>
      <w:r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(стиральные машины и аппаратура для приема телевизионной связи).</w:t>
      </w:r>
    </w:p>
    <w:sectPr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73E7F"/>
    <w:multiLevelType w:val="hybridMultilevel"/>
    <w:tmpl w:val="7E10C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99204-5B44-4021-AE81-44E6297B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il-text-indent095cm">
    <w:name w:val="il-text-indent_0_95cm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Симченко Виктория Александровна</cp:lastModifiedBy>
  <cp:revision>34</cp:revision>
  <cp:lastPrinted>2026-09-07T10:44:00Z</cp:lastPrinted>
  <dcterms:created xsi:type="dcterms:W3CDTF">2026-09-04T07:34:00Z</dcterms:created>
  <dcterms:modified xsi:type="dcterms:W3CDTF">2026-09-22T08:21:00Z</dcterms:modified>
</cp:coreProperties>
</file>