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Рекомендации по работе субъектов хозяйствования, осуществляющих оборот товаров, подлежащих маркировке, в период временной неработоспособности системы маркировки</w:t>
      </w:r>
    </w:p>
    <w:p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целях обеспечения стабильности оборота товаров, подлежащих маркировке, в том числе при некорректной работе (сбоях в работе) государственной информационной системы маркировки товаров унифицированными контрольными знаками или средствами идентификации (далее – система маркировки), возможности реализации товаров, подлежащих маркировке средствами идентификации, с использованием кассового оборудования, Министерство по налогам и сборам сообщает.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 абзацем третьим подпункта 2.3 пункта 2 Указа Президента Республики Беларусь от 10.06.2011 № 243 «О маркировке товаров» </w:t>
      </w:r>
      <w:r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</w:rPr>
        <w:t>запрещается оборот </w:t>
      </w:r>
      <w:r>
        <w:rPr>
          <w:rFonts w:ascii="Times New Roman" w:eastAsia="Times New Roman" w:hAnsi="Times New Roman"/>
          <w:sz w:val="28"/>
          <w:szCs w:val="28"/>
        </w:rPr>
        <w:t>на территории Республики Беларусь товаров без нанесенных на товары или их упаковку средств идентификации, либо с нанесенными на товары или их упаковку средствами идентификации в нарушение установленного Советом Министров Республики Беларусь или уполномоченным им органом порядка, либо при отсутствии сведений о товарах с нанесенными на них или их упаковку средствами идентификации и нанесенных на товары средствах идентификации в системе маркировки, несоответствии данных сведений сведениям, содержащимся в системе маркировки.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Под оборотом товаров для целей маркировки понимается ввоз, хранение, транспортировка, использование, получение и передача товаров, в том числе их приобретение, предложение к реализации и реализация на территории Республики Беларусь, а также трансграничная торговля.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Для обеспечения непрерывности производственных и логистических процессов, минимизации рисков простоя и исключения случаев, когда невозможно осуществлять оборот, включая реализацию в розничном торговом объекте, товаров, подлежащих маркировке средствами идентификации, </w:t>
      </w:r>
      <w:r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</w:rPr>
        <w:t>субъектам хозяйствования рекомендуется обеспечивать запас кодов маркировки, определенный с учетом планирования объема производства (ввоза) товаров и их реализации, позволяющий произвести маркировку таких товаров в течение не менее одной недели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Внесение в систему маркировки информации о нанесенных на товары средствах идентификации, защищенных материальных носителях с нанесенными средствами идентификации осуществляется после восстановления работоспособности системы маркировки.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Данная мера позволит обеспечить непрерывность производственного цикла и последующей реализации товаров в период временной неработоспособности системы маркировки, избежать задержек в получении </w:t>
      </w:r>
      <w:r>
        <w:rPr>
          <w:rFonts w:ascii="Times New Roman" w:eastAsia="Times New Roman" w:hAnsi="Times New Roman"/>
          <w:sz w:val="28"/>
          <w:szCs w:val="28"/>
        </w:rPr>
        <w:lastRenderedPageBreak/>
        <w:t>кодов маркировки (их генерации) в период пиковых нагрузок на систему маркировки после восстановления ее работоспособности.</w:t>
      </w:r>
    </w:p>
    <w:p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Аналогичный подход полагаем необходимым применять и в отношении обеспечения запаса унифицированных контрольных знаков для их нанесения на товары, подлежащие маркировке такими знаками.</w:t>
      </w:r>
    </w:p>
    <w:sectPr>
      <w:pgSz w:w="11906" w:h="16838"/>
      <w:pgMar w:top="1134" w:right="567" w:bottom="1134" w:left="1474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A450F0F-2ABD-4C55-A56A-E7008EC5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9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Балакер Елена Георгиевна</dc:creator>
  <cp:keywords/>
  <dc:description/>
  <cp:lastModifiedBy>Симченко Виктория Александровна</cp:lastModifiedBy>
  <cp:revision>11</cp:revision>
  <cp:lastPrinted>2026-09-14T11:14:00Z</cp:lastPrinted>
  <dcterms:created xsi:type="dcterms:W3CDTF">2025-09-03T13:22:00Z</dcterms:created>
  <dcterms:modified xsi:type="dcterms:W3CDTF">2026-09-14T11:16:00Z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