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/>
        <w:ind w:left="-15" w:right="42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изменениях на 2026 год (единый налог с индивидуальных предпринимателей и иных физических лиц)</w:t>
      </w:r>
    </w:p>
    <w:p>
      <w:pPr>
        <w:spacing w:after="0"/>
        <w:ind w:left="-15" w:right="42" w:firstLine="0"/>
        <w:rPr>
          <w:sz w:val="28"/>
          <w:szCs w:val="28"/>
        </w:rPr>
      </w:pPr>
    </w:p>
    <w:p>
      <w:pPr>
        <w:spacing w:after="0"/>
        <w:ind w:left="-15" w:right="42"/>
        <w:rPr>
          <w:sz w:val="28"/>
          <w:szCs w:val="28"/>
        </w:rPr>
      </w:pPr>
      <w:r>
        <w:rPr>
          <w:sz w:val="28"/>
          <w:szCs w:val="28"/>
        </w:rPr>
        <w:t>Министерство по налогам и сборам сообщает, что Президентом Республики Беларусь 29 декабря 2025 г. подписан Закон Республики Беларусь «Об изменении законов по вопросам налоговых правоотношений» (далее – Закон), которым предусмотрена корректировка порядка применения индивидуальными предпринимателями системы уплаты единого налога с индивидуальных предпринимателей и иных физических лиц (далее – единый налог):</w:t>
      </w:r>
    </w:p>
    <w:p>
      <w:pPr>
        <w:numPr>
          <w:ilvl w:val="0"/>
          <w:numId w:val="1"/>
        </w:numPr>
        <w:ind w:right="42"/>
        <w:rPr>
          <w:sz w:val="28"/>
          <w:szCs w:val="28"/>
        </w:rPr>
      </w:pPr>
      <w:r>
        <w:rPr>
          <w:b/>
          <w:sz w:val="28"/>
          <w:szCs w:val="28"/>
        </w:rPr>
        <w:t>сохранена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сфера применения</w:t>
      </w:r>
      <w:r>
        <w:rPr>
          <w:sz w:val="28"/>
          <w:szCs w:val="28"/>
        </w:rPr>
        <w:t xml:space="preserve"> для индивидуальных предпринимателей:</w:t>
      </w:r>
    </w:p>
    <w:p>
      <w:pPr>
        <w:ind w:left="0" w:right="42" w:firstLine="709"/>
        <w:rPr>
          <w:sz w:val="28"/>
          <w:szCs w:val="28"/>
        </w:rPr>
      </w:pPr>
      <w:r>
        <w:rPr>
          <w:sz w:val="28"/>
          <w:szCs w:val="28"/>
        </w:rPr>
        <w:t>реализующих товары, группы которых определены в подпункте 1.2 пункта 1 статьи 337 Налогового кодекса Республики Беларусь (далее – НК);</w:t>
      </w:r>
    </w:p>
    <w:p>
      <w:pPr>
        <w:ind w:left="0" w:right="42" w:firstLine="709"/>
        <w:rPr>
          <w:sz w:val="28"/>
          <w:szCs w:val="28"/>
        </w:rPr>
      </w:pPr>
      <w:r>
        <w:rPr>
          <w:sz w:val="28"/>
          <w:szCs w:val="28"/>
        </w:rPr>
        <w:t>предоставляющих места для краткосрочного проживания;</w:t>
      </w:r>
    </w:p>
    <w:p>
      <w:pPr>
        <w:numPr>
          <w:ilvl w:val="0"/>
          <w:numId w:val="1"/>
        </w:numPr>
        <w:ind w:right="42"/>
        <w:rPr>
          <w:sz w:val="28"/>
          <w:szCs w:val="28"/>
        </w:rPr>
      </w:pPr>
      <w:r>
        <w:rPr>
          <w:b/>
          <w:sz w:val="28"/>
          <w:szCs w:val="28"/>
        </w:rPr>
        <w:t>расширена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сфера применения</w:t>
      </w:r>
      <w:r>
        <w:rPr>
          <w:sz w:val="28"/>
          <w:szCs w:val="28"/>
        </w:rPr>
        <w:t xml:space="preserve"> для индивидуальных предпринимателей, оказывающих потребителям услуги (выполняющих работы):</w:t>
      </w:r>
    </w:p>
    <w:p>
      <w:pPr>
        <w:ind w:left="709" w:right="5310" w:firstLine="0"/>
        <w:rPr>
          <w:sz w:val="28"/>
          <w:szCs w:val="28"/>
        </w:rPr>
      </w:pPr>
      <w:r>
        <w:rPr>
          <w:sz w:val="28"/>
          <w:szCs w:val="28"/>
        </w:rPr>
        <w:t>строительство;</w:t>
      </w:r>
    </w:p>
    <w:p>
      <w:pPr>
        <w:ind w:left="709" w:right="5310" w:firstLine="0"/>
        <w:rPr>
          <w:sz w:val="28"/>
          <w:szCs w:val="28"/>
        </w:rPr>
      </w:pPr>
      <w:r>
        <w:rPr>
          <w:sz w:val="28"/>
          <w:szCs w:val="28"/>
        </w:rPr>
        <w:t>деятельность такси.</w:t>
      </w:r>
    </w:p>
    <w:p>
      <w:pPr>
        <w:spacing w:line="238" w:lineRule="auto"/>
        <w:ind w:left="-15"/>
        <w:rPr>
          <w:sz w:val="28"/>
          <w:szCs w:val="28"/>
        </w:rPr>
      </w:pPr>
      <w:r>
        <w:rPr>
          <w:i/>
          <w:sz w:val="28"/>
          <w:szCs w:val="28"/>
        </w:rPr>
        <w:t>Справочно. Строительство – бурение водяных скважин диаметром не более 80 миллиметров; земляные работы; электромонтажные работы; санитарно-технические работы; изоляционные работы; монтаж, наладка, ремонт и техническое обслуживание в зданиях и на других строительных объектах прочего инженерного оборудования; установка жалюзи, ставней и навесов; установка заборов, оград и аналогичных ограждений из различных материалов; установка в зданиях и на других строительных объектах оснащения и арматуры; штукатурные работы; столярные и плотницкие работы; устройство покрытий пола и облицовка стен; малярные и стекольные работы; прочие отделочные работы; прочие специальные строительные работы;</w:t>
      </w:r>
    </w:p>
    <w:p>
      <w:pPr>
        <w:spacing w:line="238" w:lineRule="auto"/>
        <w:ind w:left="-15"/>
        <w:rPr>
          <w:sz w:val="28"/>
          <w:szCs w:val="28"/>
        </w:rPr>
      </w:pPr>
      <w:r>
        <w:rPr>
          <w:i/>
          <w:sz w:val="28"/>
          <w:szCs w:val="28"/>
        </w:rPr>
        <w:t>деятельность такси – перевозки пассажиров автомобилями-такси, в том числе осуществляемые по заказам, полученным с использованием средств электросвязи и глобальной компьютерной сети Интернет (ст. 335 НК).</w:t>
      </w:r>
    </w:p>
    <w:p>
      <w:pPr>
        <w:numPr>
          <w:ilvl w:val="0"/>
          <w:numId w:val="2"/>
        </w:numPr>
        <w:ind w:right="42"/>
        <w:rPr>
          <w:sz w:val="28"/>
          <w:szCs w:val="28"/>
        </w:rPr>
      </w:pPr>
      <w:r>
        <w:rPr>
          <w:b/>
          <w:sz w:val="28"/>
          <w:szCs w:val="28"/>
        </w:rPr>
        <w:t>увеличены</w:t>
      </w:r>
      <w:r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определены</w:t>
      </w:r>
      <w:r>
        <w:rPr>
          <w:sz w:val="28"/>
          <w:szCs w:val="28"/>
        </w:rPr>
        <w:t xml:space="preserve"> для новых видов деятельности) </w:t>
      </w:r>
      <w:r>
        <w:rPr>
          <w:b/>
          <w:sz w:val="28"/>
          <w:szCs w:val="28"/>
        </w:rPr>
        <w:t>размеры ставок</w:t>
      </w:r>
      <w:r>
        <w:rPr>
          <w:sz w:val="28"/>
          <w:szCs w:val="28"/>
        </w:rPr>
        <w:t>, установленные в приложении 24 к НК.</w:t>
      </w:r>
    </w:p>
    <w:p>
      <w:pPr>
        <w:numPr>
          <w:ilvl w:val="0"/>
          <w:numId w:val="2"/>
        </w:numPr>
        <w:ind w:right="42"/>
        <w:rPr>
          <w:sz w:val="28"/>
          <w:szCs w:val="28"/>
        </w:rPr>
      </w:pPr>
      <w:r>
        <w:rPr>
          <w:b/>
          <w:sz w:val="28"/>
          <w:szCs w:val="28"/>
        </w:rPr>
        <w:t>отменен понижающий коэффициент 0,5</w:t>
      </w:r>
      <w:r>
        <w:rPr>
          <w:sz w:val="28"/>
          <w:szCs w:val="28"/>
        </w:rPr>
        <w:t xml:space="preserve"> при осуществлении индивидуальными предпринимателями реализации товаров </w:t>
      </w:r>
      <w:r>
        <w:rPr>
          <w:color w:val="242424"/>
          <w:sz w:val="28"/>
          <w:szCs w:val="28"/>
        </w:rPr>
        <w:t xml:space="preserve">на торговых местах, выставках-продажах, ярмарках, в развозной и разносной торговле </w:t>
      </w:r>
      <w:r>
        <w:rPr>
          <w:sz w:val="28"/>
          <w:szCs w:val="28"/>
        </w:rPr>
        <w:t>менее 15 дней в месяц;</w:t>
      </w:r>
    </w:p>
    <w:p>
      <w:pPr>
        <w:numPr>
          <w:ilvl w:val="0"/>
          <w:numId w:val="2"/>
        </w:numPr>
        <w:spacing w:line="238" w:lineRule="auto"/>
        <w:ind w:right="42"/>
        <w:rPr>
          <w:sz w:val="28"/>
          <w:szCs w:val="28"/>
        </w:rPr>
      </w:pPr>
      <w:r>
        <w:rPr>
          <w:b/>
          <w:sz w:val="28"/>
          <w:szCs w:val="28"/>
        </w:rPr>
        <w:t>увеличена ставка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 доплате с 5 до 6 процентов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при превышении валовой выручки над сорокакратной суммой единого налога</w:t>
      </w:r>
      <w:r>
        <w:rPr>
          <w:sz w:val="28"/>
          <w:szCs w:val="28"/>
        </w:rPr>
        <w:t>).</w:t>
      </w:r>
    </w:p>
    <w:p>
      <w:pPr>
        <w:spacing w:before="100" w:beforeAutospacing="1" w:line="247" w:lineRule="auto"/>
        <w:ind w:left="-17" w:right="40" w:firstLine="697"/>
        <w:rPr>
          <w:sz w:val="28"/>
          <w:szCs w:val="28"/>
        </w:rPr>
      </w:pPr>
      <w:r>
        <w:rPr>
          <w:sz w:val="28"/>
          <w:szCs w:val="28"/>
        </w:rPr>
        <w:t xml:space="preserve">В связи с указанными изменениями Законом заложены следующие </w:t>
      </w:r>
      <w:r>
        <w:rPr>
          <w:b/>
          <w:sz w:val="28"/>
          <w:szCs w:val="28"/>
        </w:rPr>
        <w:t>переходные нормы</w:t>
      </w:r>
      <w:r>
        <w:rPr>
          <w:sz w:val="28"/>
          <w:szCs w:val="28"/>
        </w:rPr>
        <w:t xml:space="preserve"> (пункт 5 статьи 4 Закона).</w:t>
      </w:r>
    </w:p>
    <w:p>
      <w:pPr>
        <w:ind w:left="-15" w:right="42"/>
        <w:rPr>
          <w:sz w:val="28"/>
          <w:szCs w:val="28"/>
        </w:rPr>
      </w:pPr>
      <w:r>
        <w:rPr>
          <w:sz w:val="28"/>
          <w:szCs w:val="28"/>
        </w:rPr>
        <w:lastRenderedPageBreak/>
        <w:t>Индивидуальные предприниматели, которые утратят право на применение единого налога с 1 января 2026 г. в связи с установлением закрытого перечня видов деятельности, но при этом представят налоговую декларацию (расчет) по единому налогу (далее – налоговая декларация) за I квартал 2026 года, вносят соответствующие изменения в такую декларацию и представляют ее в налоговый орган в срок не позднее 31 марта 2026 г.</w:t>
      </w:r>
    </w:p>
    <w:p>
      <w:pPr>
        <w:ind w:left="-15" w:right="42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предприниматели, применяющие в I квартале 2026 года общий порядок налогообложения, </w:t>
      </w:r>
      <w:r>
        <w:rPr>
          <w:b/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перейти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 1 января 2026 г.</w:t>
      </w:r>
      <w:r>
        <w:rPr>
          <w:sz w:val="28"/>
          <w:szCs w:val="28"/>
        </w:rPr>
        <w:t xml:space="preserve"> на применение единого налога в отношении видов деятельности: </w:t>
      </w:r>
      <w:r>
        <w:rPr>
          <w:b/>
          <w:sz w:val="28"/>
          <w:szCs w:val="28"/>
        </w:rPr>
        <w:t>строительство, деятельность такси</w:t>
      </w:r>
      <w:r>
        <w:rPr>
          <w:sz w:val="28"/>
          <w:szCs w:val="28"/>
        </w:rPr>
        <w:t>.</w:t>
      </w:r>
    </w:p>
    <w:p>
      <w:pPr>
        <w:spacing w:after="0" w:line="240" w:lineRule="auto"/>
        <w:ind w:left="-15" w:right="42" w:firstLine="709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предприниматели, </w:t>
      </w:r>
      <w:r>
        <w:rPr>
          <w:b/>
          <w:sz w:val="28"/>
          <w:szCs w:val="28"/>
        </w:rPr>
        <w:t>изъявившие желание перейти с 1 января 2026 г.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 применение единого налога</w:t>
      </w:r>
      <w:r>
        <w:rPr>
          <w:sz w:val="28"/>
          <w:szCs w:val="28"/>
        </w:rPr>
        <w:t xml:space="preserve"> в отношении указанных видов деятельности (</w:t>
      </w:r>
      <w:r>
        <w:rPr>
          <w:b/>
          <w:sz w:val="28"/>
          <w:szCs w:val="28"/>
        </w:rPr>
        <w:t>строительство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деятельность такси</w:t>
      </w:r>
      <w:r>
        <w:rPr>
          <w:sz w:val="28"/>
          <w:szCs w:val="28"/>
        </w:rPr>
        <w:t xml:space="preserve">) представляют в налоговый орган налоговую декларацию за I квартал 2026 года и </w:t>
      </w:r>
      <w:r>
        <w:rPr>
          <w:b/>
          <w:sz w:val="28"/>
          <w:szCs w:val="28"/>
        </w:rPr>
        <w:t>не позднее 1 февраля 2026 г. производят уплату единого налога за январь 2026 г.</w:t>
      </w:r>
      <w:r>
        <w:rPr>
          <w:sz w:val="28"/>
          <w:szCs w:val="28"/>
        </w:rPr>
        <w:t xml:space="preserve"> по </w:t>
      </w:r>
      <w:r>
        <w:rPr>
          <w:b/>
          <w:sz w:val="28"/>
          <w:szCs w:val="28"/>
        </w:rPr>
        <w:t>ставкам</w:t>
      </w:r>
      <w:r>
        <w:rPr>
          <w:sz w:val="28"/>
          <w:szCs w:val="28"/>
        </w:rPr>
        <w:t xml:space="preserve"> единого налога, </w:t>
      </w:r>
      <w:r>
        <w:rPr>
          <w:b/>
          <w:sz w:val="28"/>
          <w:szCs w:val="28"/>
        </w:rPr>
        <w:t>установленным на 2026 год.</w:t>
      </w:r>
    </w:p>
    <w:p>
      <w:pPr>
        <w:ind w:left="-15" w:right="42"/>
        <w:rPr>
          <w:sz w:val="28"/>
          <w:szCs w:val="28"/>
        </w:rPr>
      </w:pPr>
      <w:r>
        <w:rPr>
          <w:sz w:val="28"/>
          <w:szCs w:val="28"/>
        </w:rPr>
        <w:t>В отношении</w:t>
      </w:r>
      <w:r>
        <w:rPr>
          <w:b/>
          <w:sz w:val="28"/>
          <w:szCs w:val="28"/>
        </w:rPr>
        <w:t xml:space="preserve"> «сохраненных» </w:t>
      </w:r>
      <w:r>
        <w:rPr>
          <w:sz w:val="28"/>
          <w:szCs w:val="28"/>
        </w:rPr>
        <w:t>видов деятельности</w:t>
      </w:r>
      <w:r>
        <w:rPr>
          <w:b/>
          <w:sz w:val="28"/>
          <w:szCs w:val="28"/>
        </w:rPr>
        <w:t xml:space="preserve"> новые ставки единого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налога</w:t>
      </w:r>
      <w:r>
        <w:rPr>
          <w:sz w:val="28"/>
          <w:szCs w:val="28"/>
        </w:rPr>
        <w:t xml:space="preserve"> индивидуальными предпринимателями применяются при исчислении суммы единого налога </w:t>
      </w:r>
      <w:r>
        <w:rPr>
          <w:b/>
          <w:sz w:val="28"/>
          <w:szCs w:val="28"/>
        </w:rPr>
        <w:t>за февраль 2026 г</w:t>
      </w:r>
      <w:r>
        <w:rPr>
          <w:sz w:val="28"/>
          <w:szCs w:val="28"/>
        </w:rPr>
        <w:t xml:space="preserve">. и </w:t>
      </w:r>
      <w:r>
        <w:rPr>
          <w:b/>
          <w:sz w:val="28"/>
          <w:szCs w:val="28"/>
        </w:rPr>
        <w:t>последующие календарные месяцы 2026 г</w:t>
      </w:r>
      <w:r>
        <w:rPr>
          <w:sz w:val="28"/>
          <w:szCs w:val="28"/>
        </w:rPr>
        <w:t xml:space="preserve">., за </w:t>
      </w:r>
      <w:r>
        <w:rPr>
          <w:b/>
          <w:sz w:val="28"/>
          <w:szCs w:val="28"/>
        </w:rPr>
        <w:t>январь 2026 г</w:t>
      </w:r>
      <w:r>
        <w:rPr>
          <w:sz w:val="28"/>
          <w:szCs w:val="28"/>
        </w:rPr>
        <w:t xml:space="preserve">. исчисление единого налога производится </w:t>
      </w:r>
      <w:r>
        <w:rPr>
          <w:b/>
          <w:sz w:val="28"/>
          <w:szCs w:val="28"/>
        </w:rPr>
        <w:t xml:space="preserve">по ставкам </w:t>
      </w:r>
      <w:r>
        <w:rPr>
          <w:sz w:val="28"/>
          <w:szCs w:val="28"/>
        </w:rPr>
        <w:t>единого налога</w:t>
      </w:r>
      <w:r>
        <w:rPr>
          <w:b/>
          <w:sz w:val="28"/>
          <w:szCs w:val="28"/>
        </w:rPr>
        <w:t>, действовавшим в 2025 году.</w:t>
      </w:r>
    </w:p>
    <w:p>
      <w:pPr>
        <w:ind w:left="-15" w:right="42"/>
        <w:rPr>
          <w:sz w:val="28"/>
          <w:szCs w:val="28"/>
        </w:rPr>
      </w:pPr>
      <w:r>
        <w:rPr>
          <w:sz w:val="28"/>
          <w:szCs w:val="28"/>
        </w:rPr>
        <w:t>Индивидуальные предприниматели при осуществлении в январе 2026 года менее 15 дней розничной торговли на торговых местах, выставках-продажах, ярмарках, развозной и разносной торговли исчисляют единый налог с применением коэффициента 0,5.</w:t>
      </w:r>
    </w:p>
    <w:p>
      <w:pPr>
        <w:spacing w:before="100" w:beforeAutospacing="1" w:line="247" w:lineRule="auto"/>
        <w:ind w:left="-17" w:right="40" w:firstLine="697"/>
        <w:rPr>
          <w:sz w:val="28"/>
          <w:szCs w:val="28"/>
        </w:rPr>
      </w:pPr>
      <w:r>
        <w:rPr>
          <w:sz w:val="28"/>
          <w:szCs w:val="28"/>
        </w:rPr>
        <w:t xml:space="preserve">Кроме того, Законом пункт 19 статьи 342 НК дополнен нормой, позволяющей </w:t>
      </w:r>
      <w:r>
        <w:rPr>
          <w:b/>
          <w:sz w:val="28"/>
          <w:szCs w:val="28"/>
        </w:rPr>
        <w:t>индивидуальным предпринимателям, осуществляющим деятельность такси с применением единого налога</w:t>
      </w:r>
      <w:r>
        <w:rPr>
          <w:sz w:val="28"/>
          <w:szCs w:val="28"/>
        </w:rPr>
        <w:t>, включать в валовую выручку стоимость услуг, оказанных диспетчеру такси и связанных с автомобильными перевозками пассажиров автомобилями-такси.</w:t>
      </w:r>
    </w:p>
    <w:p>
      <w:pPr>
        <w:ind w:left="-15" w:right="42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>
        <w:rPr>
          <w:b/>
          <w:sz w:val="28"/>
          <w:szCs w:val="28"/>
        </w:rPr>
        <w:t>в 2026 году</w:t>
      </w:r>
      <w:r>
        <w:rPr>
          <w:sz w:val="28"/>
          <w:szCs w:val="28"/>
        </w:rPr>
        <w:t xml:space="preserve"> индивидуальные предприниматели</w:t>
      </w:r>
      <w:r>
        <w:rPr>
          <w:b/>
          <w:sz w:val="28"/>
          <w:szCs w:val="28"/>
        </w:rPr>
        <w:t xml:space="preserve">-плательщики единого налога, </w:t>
      </w:r>
      <w:r>
        <w:rPr>
          <w:sz w:val="28"/>
          <w:szCs w:val="28"/>
        </w:rPr>
        <w:t>осуществляющие</w:t>
      </w:r>
      <w:r>
        <w:rPr>
          <w:b/>
          <w:sz w:val="28"/>
          <w:szCs w:val="28"/>
        </w:rPr>
        <w:t xml:space="preserve"> деятельность такси,</w:t>
      </w:r>
      <w:r>
        <w:rPr>
          <w:sz w:val="28"/>
          <w:szCs w:val="28"/>
        </w:rPr>
        <w:t xml:space="preserve"> в </w:t>
      </w:r>
      <w:r>
        <w:rPr>
          <w:b/>
          <w:sz w:val="28"/>
          <w:szCs w:val="28"/>
        </w:rPr>
        <w:t>валовую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выручку</w:t>
      </w:r>
      <w:r>
        <w:rPr>
          <w:sz w:val="28"/>
          <w:szCs w:val="28"/>
        </w:rPr>
        <w:t xml:space="preserve"> будут включать: выручку от оказанных услуг по перевозке пассажиров (</w:t>
      </w:r>
      <w:r>
        <w:rPr>
          <w:i/>
          <w:sz w:val="28"/>
          <w:szCs w:val="28"/>
        </w:rPr>
        <w:t>потребителей</w:t>
      </w:r>
      <w:r>
        <w:rPr>
          <w:sz w:val="28"/>
          <w:szCs w:val="28"/>
        </w:rPr>
        <w:t>) (п. 15 ст. 342 НК); выручку от оказания субъектам хозяйствования услуг, связанных с поддержкой (продвижением) электронных сервисов, принадлежащих таким субъектам и используемых индивидуальными предпринимателями при оказании потребителям услуг такси (</w:t>
      </w:r>
      <w:r>
        <w:rPr>
          <w:i/>
          <w:sz w:val="28"/>
          <w:szCs w:val="28"/>
        </w:rPr>
        <w:t>реклама электронных сервисов</w:t>
      </w:r>
      <w:r>
        <w:rPr>
          <w:sz w:val="28"/>
          <w:szCs w:val="28"/>
        </w:rPr>
        <w:t xml:space="preserve">) (п. 19 ст. 342 НК); </w:t>
      </w:r>
      <w:r>
        <w:rPr>
          <w:b/>
          <w:sz w:val="28"/>
          <w:szCs w:val="28"/>
        </w:rPr>
        <w:t xml:space="preserve">стоимость услуг, оказанных диспетчеру такси и связанных с автомобильными перевозками пассажиров автомобилями-такси </w:t>
      </w:r>
      <w:r>
        <w:rPr>
          <w:i/>
          <w:sz w:val="28"/>
          <w:szCs w:val="28"/>
        </w:rPr>
        <w:t>(«корпоративные» клиенты</w:t>
      </w:r>
      <w:r>
        <w:rPr>
          <w:sz w:val="28"/>
          <w:szCs w:val="28"/>
        </w:rPr>
        <w:t>) (п. 19 ст. 342 НК в редакции 2026 года).</w:t>
      </w:r>
    </w:p>
    <w:p>
      <w:pPr>
        <w:ind w:left="-15" w:right="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Одновременно считаем необходимым отметить, что согласно </w:t>
      </w:r>
      <w:r>
        <w:rPr>
          <w:rStyle w:val="word-wrapper"/>
          <w:color w:val="242424"/>
          <w:sz w:val="28"/>
          <w:szCs w:val="28"/>
        </w:rPr>
        <w:t xml:space="preserve">общегосударственному </w:t>
      </w:r>
      <w:r>
        <w:rPr>
          <w:rStyle w:val="word-wrapper"/>
          <w:sz w:val="28"/>
          <w:szCs w:val="28"/>
        </w:rPr>
        <w:t xml:space="preserve">классификатору </w:t>
      </w:r>
      <w:r>
        <w:rPr>
          <w:rStyle w:val="word-wrapper"/>
          <w:color w:val="242424"/>
          <w:sz w:val="28"/>
          <w:szCs w:val="28"/>
        </w:rPr>
        <w:t>Республики Беларусь ОКРБ 005-2011 «Виды экономической деятельности»</w:t>
      </w:r>
      <w:r>
        <w:rPr>
          <w:sz w:val="28"/>
          <w:szCs w:val="28"/>
        </w:rPr>
        <w:t xml:space="preserve">, утвержденному постановлением Государственного комитета по стандартизации Республики Беларусь от 05.12.2011 № 85, </w:t>
      </w:r>
      <w:r>
        <w:rPr>
          <w:b/>
          <w:sz w:val="28"/>
          <w:szCs w:val="28"/>
        </w:rPr>
        <w:t>самостоятельное заключение</w:t>
      </w:r>
      <w:r>
        <w:rPr>
          <w:sz w:val="28"/>
          <w:szCs w:val="28"/>
        </w:rPr>
        <w:t xml:space="preserve"> индивидуальным предпринимателем </w:t>
      </w:r>
      <w:r>
        <w:rPr>
          <w:b/>
          <w:sz w:val="28"/>
          <w:szCs w:val="28"/>
        </w:rPr>
        <w:t>договоров с субъектами хозяйствования, не являющимися диспетчерами такси</w:t>
      </w:r>
      <w:r>
        <w:rPr>
          <w:sz w:val="28"/>
          <w:szCs w:val="28"/>
        </w:rPr>
        <w:t xml:space="preserve"> (организациями и индивидуальными предпринимателями), </w:t>
      </w:r>
      <w:r>
        <w:rPr>
          <w:b/>
          <w:sz w:val="28"/>
          <w:szCs w:val="28"/>
        </w:rPr>
        <w:t>по оказанию им услуг по перевозке</w:t>
      </w:r>
      <w:r>
        <w:rPr>
          <w:sz w:val="28"/>
          <w:szCs w:val="28"/>
        </w:rPr>
        <w:t xml:space="preserve"> легковым автомобилем работников такого субъекта хозяйствования и (или) иных лиц до места работы (службы), командирования, на экскурсию либо в рамках любого иного мероприятия классифицируется в подклассе 49322 «Аренда легковых автомобилей с водителем» (</w:t>
      </w:r>
      <w:r>
        <w:rPr>
          <w:i/>
          <w:sz w:val="28"/>
          <w:szCs w:val="28"/>
        </w:rPr>
        <w:t>деятельность такси классифицируется в 49321)</w:t>
      </w:r>
      <w:r>
        <w:rPr>
          <w:sz w:val="28"/>
          <w:szCs w:val="28"/>
        </w:rPr>
        <w:t xml:space="preserve">. В этой связи индивидуальные предприниматели не вправе осуществлять такую деятельность в рамках единого налога, то есть </w:t>
      </w:r>
      <w:r>
        <w:rPr>
          <w:b/>
          <w:sz w:val="28"/>
          <w:szCs w:val="28"/>
        </w:rPr>
        <w:t>применение единого налога</w:t>
      </w:r>
      <w:r>
        <w:rPr>
          <w:sz w:val="28"/>
          <w:szCs w:val="28"/>
        </w:rPr>
        <w:t xml:space="preserve"> в данной ситуации </w:t>
      </w:r>
      <w:r>
        <w:rPr>
          <w:b/>
          <w:sz w:val="28"/>
          <w:szCs w:val="28"/>
        </w:rPr>
        <w:t>запрещается</w:t>
      </w:r>
      <w:r>
        <w:rPr>
          <w:sz w:val="28"/>
          <w:szCs w:val="28"/>
        </w:rPr>
        <w:t>.</w:t>
      </w:r>
    </w:p>
    <w:sectPr>
      <w:headerReference w:type="default" r:id="rId7"/>
      <w:footerReference w:type="default" r:id="rId8"/>
      <w:pgSz w:w="11906" w:h="16838"/>
      <w:pgMar w:top="851" w:right="624" w:bottom="568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5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23899"/>
      <w:docPartObj>
        <w:docPartGallery w:val="Page Numbers (Top of Page)"/>
        <w:docPartUnique/>
      </w:docPartObj>
    </w:sdtPr>
    <w:sdtContent>
      <w:p>
        <w:pPr>
          <w:pStyle w:val="a3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A44"/>
    <w:multiLevelType w:val="hybridMultilevel"/>
    <w:tmpl w:val="FB7EDCCE"/>
    <w:lvl w:ilvl="0" w:tplc="752EC5CC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2C0895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D9E0E5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362BC5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D92C70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D88546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8E8BE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48CDC4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FD4A18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CB2F61"/>
    <w:multiLevelType w:val="hybridMultilevel"/>
    <w:tmpl w:val="A7340280"/>
    <w:lvl w:ilvl="0" w:tplc="471687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C6CC7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256C2A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820AA5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896A69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92A988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EBC921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9ECBAD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BC077E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874BE-176D-43CA-AB32-74C4AB01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8" w:lineRule="auto"/>
      <w:ind w:left="1507" w:firstLine="699"/>
      <w:jc w:val="both"/>
    </w:pPr>
    <w:rPr>
      <w:rFonts w:eastAsia="Times New Roman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line="246" w:lineRule="auto"/>
      <w:ind w:right="1488"/>
    </w:pPr>
    <w:rPr>
      <w:rFonts w:eastAsia="Times New Roman"/>
      <w:color w:val="000000"/>
      <w:sz w:val="20"/>
      <w:szCs w:val="22"/>
      <w:lang w:eastAsia="ru-RU"/>
    </w:rPr>
  </w:style>
  <w:style w:type="character" w:customStyle="1" w:styleId="footnotedescriptionChar">
    <w:name w:val="footnote description Char"/>
    <w:link w:val="footnotedescription"/>
    <w:rPr>
      <w:rFonts w:eastAsia="Times New Roman"/>
      <w:color w:val="000000"/>
      <w:sz w:val="20"/>
      <w:szCs w:val="22"/>
      <w:lang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word-wrapper">
    <w:name w:val="word-wrapper"/>
    <w:basedOn w:val="a0"/>
  </w:style>
  <w:style w:type="character" w:customStyle="1" w:styleId="fake-non-breaking-space">
    <w:name w:val="fake-non-breaking-space"/>
    <w:basedOn w:val="a0"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Pr>
      <w:rFonts w:eastAsia="Times New Roman"/>
      <w:color w:val="000000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eastAsia="Times New Roman"/>
      <w:color w:val="00000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Симченко Виктория Александровна</cp:lastModifiedBy>
  <cp:revision>3</cp:revision>
  <cp:lastPrinted>2026-01-08T11:43:00Z</cp:lastPrinted>
  <dcterms:created xsi:type="dcterms:W3CDTF">2026-01-08T11:41:00Z</dcterms:created>
  <dcterms:modified xsi:type="dcterms:W3CDTF">2026-01-08T11:57:00Z</dcterms:modified>
</cp:coreProperties>
</file>