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 w:val="30"/>
          <w:szCs w:val="30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>
        <w:trPr>
          <w:trHeight w:val="699"/>
        </w:trPr>
        <w:tc>
          <w:tcPr>
            <w:tcW w:w="9639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outlineLvl w:val="2"/>
              <w:rPr>
                <w:b/>
                <w:sz w:val="30"/>
                <w:szCs w:val="30"/>
              </w:rPr>
            </w:pPr>
            <w:bookmarkStart w:id="0" w:name="_Hlk183760266"/>
            <w:r>
              <w:rPr>
                <w:rFonts w:eastAsiaTheme="minorHAnsi"/>
                <w:b/>
                <w:sz w:val="30"/>
                <w:szCs w:val="30"/>
                <w:lang w:eastAsia="en-US"/>
              </w:rPr>
              <w:t>О порядке оборота предметов одежды из меха</w:t>
            </w:r>
            <w:bookmarkEnd w:id="0"/>
          </w:p>
        </w:tc>
      </w:tr>
    </w:tbl>
    <w:p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Советом Евразийской экономической комиссии 19 ноября 2025 г. принято решение № 116 «О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комиссии» (далее – ЕЭК, решение № 116), в соответствии с которым в Евразийском экономическом союзе (далее – ЕАЭС) с 01.03.2026 изменяется порядок маркировки предметов одежды из меха – осуществляется переход от маркировки 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к маркировке средствами идентификации в формате Data Matrix GS1.</w:t>
      </w:r>
    </w:p>
    <w:p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В соответствии с пунктом 5 </w:t>
      </w:r>
      <w:r>
        <w:rPr>
          <w:color w:val="242424"/>
          <w:sz w:val="30"/>
          <w:szCs w:val="30"/>
          <w:shd w:val="clear" w:color="auto" w:fill="FFFFFF"/>
        </w:rPr>
        <w:t xml:space="preserve">Указа Президента Республики Беларусь от 10.06.2011 № </w:t>
      </w:r>
      <w:proofErr w:type="gramStart"/>
      <w:r>
        <w:rPr>
          <w:color w:val="242424"/>
          <w:sz w:val="30"/>
          <w:szCs w:val="30"/>
          <w:shd w:val="clear" w:color="auto" w:fill="FFFFFF"/>
        </w:rPr>
        <w:t>243 ”О</w:t>
      </w:r>
      <w:proofErr w:type="gramEnd"/>
      <w:r>
        <w:rPr>
          <w:color w:val="242424"/>
          <w:sz w:val="30"/>
          <w:szCs w:val="30"/>
          <w:shd w:val="clear" w:color="auto" w:fill="FFFFFF"/>
        </w:rPr>
        <w:t xml:space="preserve"> маркировке товаров“ (далее – Указ № 243) предусмотрено, что е</w:t>
      </w:r>
      <w:r>
        <w:rPr>
          <w:rStyle w:val="word-wrapper"/>
          <w:color w:val="242424"/>
          <w:sz w:val="30"/>
          <w:szCs w:val="30"/>
        </w:rPr>
        <w:t>сли международным договором Республики Беларусь и (или) решениями ЕЭК установлены иные правила, чем те, которые содержатся в Указе № 243, применяются правила международного договора и (или) решения ЕЭК.</w:t>
      </w:r>
    </w:p>
    <w:p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Порядок маркировки предметов одежды из меха установлен в части второй пункта 4 Инструкции о порядке маркировки товаров, утвержденной постановлением Министерства по налогам и сборам Республики Беларусь от 03.05.2021 № 17 (далее – постановление № 17) и предусматривает маркировку предметов одежды из меха </w:t>
      </w:r>
      <w:r>
        <w:rPr>
          <w:rStyle w:val="word-wrapper"/>
          <w:color w:val="242424"/>
          <w:sz w:val="30"/>
          <w:szCs w:val="30"/>
        </w:rPr>
        <w:t>средствами идентификации с использованием RFID-меток.</w:t>
      </w:r>
    </w:p>
    <w:p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 официального опубликования постановления Министерства по налогам и сборам, предусматривающего корректировку постановления </w:t>
      </w:r>
      <w:r>
        <w:rPr>
          <w:rStyle w:val="word-wrapper"/>
          <w:color w:val="242424"/>
          <w:sz w:val="30"/>
          <w:szCs w:val="30"/>
        </w:rPr>
        <w:br/>
        <w:t>№ 17 в части изменения порядка маркировки предметов одежды из меха, следует руководствоваться положениями решения № 116.</w:t>
      </w:r>
    </w:p>
    <w:p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Так, решением № 116 установлено:</w:t>
      </w:r>
    </w:p>
    <w:p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b/>
          <w:sz w:val="30"/>
          <w:szCs w:val="30"/>
        </w:rPr>
        <w:t>С 01.03.2026</w:t>
      </w:r>
      <w:r>
        <w:rPr>
          <w:sz w:val="30"/>
          <w:szCs w:val="30"/>
        </w:rPr>
        <w:t xml:space="preserve"> маркировка предметов одежды из меха осуществляется </w:t>
      </w:r>
      <w:r>
        <w:rPr>
          <w:b/>
          <w:sz w:val="30"/>
          <w:szCs w:val="30"/>
        </w:rPr>
        <w:t xml:space="preserve">исключительно средствами идентификации, </w:t>
      </w:r>
      <w:r>
        <w:rPr>
          <w:sz w:val="30"/>
          <w:szCs w:val="30"/>
        </w:rPr>
        <w:t>представленными в виде двумерных штриховых кодов в формате Data Matrix GS1.</w:t>
      </w:r>
    </w:p>
    <w:p>
      <w:pPr>
        <w:autoSpaceDE w:val="0"/>
        <w:autoSpaceDN w:val="0"/>
        <w:adjustRightInd w:val="0"/>
        <w:ind w:firstLine="709"/>
        <w:jc w:val="both"/>
        <w:rPr>
          <w:b/>
          <w:i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Товары маркируются путем нанесения на них материального носителя, содержащего средство идентификации, способом, не допускающим отделения такого материального носителя без его повреждений</w:t>
      </w:r>
      <w:r>
        <w:rPr>
          <w:b/>
          <w:i/>
          <w:sz w:val="30"/>
          <w:szCs w:val="30"/>
        </w:rPr>
        <w:t>.</w:t>
      </w:r>
    </w:p>
    <w:p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Справочно:</w:t>
      </w:r>
    </w:p>
    <w:p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В соответствии с абзацем четвертым пункта 1 решения № 116 предусмотрено, что маркировка предметов одежды из меха контрольными (идентификационными) знаками в соответствии с решением Совета ЕЭК от 23.11.2015 № 70 ”Об утверждении отдельных документов по маркировке товаров товарной позиции ”Предметы одежды, принадлежности к одежде и прочие изделия, из натурального </w:t>
      </w:r>
      <w:r>
        <w:rPr>
          <w:i/>
          <w:sz w:val="30"/>
          <w:szCs w:val="30"/>
        </w:rPr>
        <w:lastRenderedPageBreak/>
        <w:t xml:space="preserve">меха“ и решением Совета ЕЭК от 02.12.2015 № 86 ”Об утверждении отдельных документов в целях маркировки товаров товарной позиции ”Предметы одежды, принадлежности к одежде и прочие изделия, из натурального меха“ </w:t>
      </w:r>
      <w:r>
        <w:rPr>
          <w:bCs/>
          <w:i/>
          <w:sz w:val="30"/>
          <w:szCs w:val="30"/>
        </w:rPr>
        <w:t>может осуществляться до 28.02.2026 (включительно)</w:t>
      </w:r>
      <w:r>
        <w:rPr>
          <w:i/>
          <w:sz w:val="30"/>
          <w:szCs w:val="30"/>
        </w:rPr>
        <w:t xml:space="preserve">. </w:t>
      </w:r>
    </w:p>
    <w:p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b/>
          <w:sz w:val="30"/>
          <w:szCs w:val="30"/>
        </w:rPr>
        <w:t>До 01.03.2027</w:t>
      </w:r>
      <w:r>
        <w:rPr>
          <w:sz w:val="30"/>
          <w:szCs w:val="30"/>
        </w:rPr>
        <w:t xml:space="preserve"> возможно осуществлять оборот меховых изделий, которые маркированы контрольными (идентификационными) знаками до 28.02.2026 (включительно).</w:t>
      </w:r>
    </w:p>
    <w:p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Справочно:</w:t>
      </w:r>
    </w:p>
    <w:p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В соответствии с абзацем пятым пункта 1 решения № 116 предусмотрено, что запрет на оборот товаров, не маркированных средствами идентификации в соответствии решением № 116, на территориях государств - членов ЕАЭС </w:t>
      </w:r>
      <w:r>
        <w:rPr>
          <w:bCs/>
          <w:i/>
          <w:sz w:val="30"/>
          <w:szCs w:val="30"/>
        </w:rPr>
        <w:t>вводится с 01.03.2027.</w:t>
      </w:r>
    </w:p>
    <w:p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Каждое государство-члена ЕАЭС </w:t>
      </w:r>
      <w:r>
        <w:rPr>
          <w:b/>
          <w:sz w:val="30"/>
          <w:szCs w:val="30"/>
        </w:rPr>
        <w:t>вправе установить</w:t>
      </w:r>
      <w:r>
        <w:rPr>
          <w:sz w:val="30"/>
          <w:szCs w:val="30"/>
        </w:rPr>
        <w:t xml:space="preserve"> более поздний срок </w:t>
      </w:r>
      <w:r>
        <w:rPr>
          <w:bCs/>
          <w:sz w:val="30"/>
          <w:szCs w:val="30"/>
        </w:rPr>
        <w:t>запрета</w:t>
      </w:r>
      <w:r>
        <w:rPr>
          <w:sz w:val="30"/>
          <w:szCs w:val="30"/>
        </w:rPr>
        <w:t xml:space="preserve"> на оборот на своей территории меховых изделий, маркированных до 28.02.2026 (включительно) контрольными (идентификационными) знаками, при условии, что такие товары будут находиться в обороте на территории только этого государства-члена ЕАЭС.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Республике Беларусь выработана согласованная позиция </w:t>
      </w:r>
      <w:r>
        <w:rPr>
          <w:sz w:val="30"/>
          <w:szCs w:val="30"/>
        </w:rPr>
        <w:t xml:space="preserve">о нецелесообразности установления на территории Республики Беларусь запрета на оборот предметов одежды их меха, маркированных до 28.02.2026 г. (включительно) 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Учитывая изложенное, при </w:t>
      </w:r>
      <w:r>
        <w:rPr>
          <w:b/>
          <w:sz w:val="30"/>
          <w:szCs w:val="30"/>
        </w:rPr>
        <w:t>маркировке</w:t>
      </w:r>
      <w:r>
        <w:rPr>
          <w:sz w:val="30"/>
          <w:szCs w:val="30"/>
        </w:rPr>
        <w:t xml:space="preserve"> предметов одежды из меха необходимо руководствоваться следующим.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b/>
          <w:sz w:val="30"/>
          <w:szCs w:val="30"/>
        </w:rPr>
        <w:t xml:space="preserve">1. До 28.02.2026 (включительно) </w:t>
      </w:r>
      <w:r>
        <w:rPr>
          <w:sz w:val="30"/>
          <w:szCs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</w:t>
      </w:r>
      <w:r>
        <w:rPr>
          <w:rStyle w:val="word-wrapper"/>
          <w:color w:val="242424"/>
          <w:sz w:val="30"/>
          <w:szCs w:val="30"/>
        </w:rPr>
        <w:t xml:space="preserve">средствами идентификации с использованием RFID-меток (защищенными материальными носителями с нанесенными средствами идентификации). Информация в межведомственную распределенную информационную систему ”Банк данных электронных паспортов товаров“ (далее – </w:t>
      </w:r>
      <w:proofErr w:type="spellStart"/>
      <w:r>
        <w:rPr>
          <w:rStyle w:val="word-wrapper"/>
          <w:color w:val="242424"/>
          <w:sz w:val="30"/>
          <w:szCs w:val="30"/>
          <w:lang w:val="en-US"/>
        </w:rPr>
        <w:t>ePass</w:t>
      </w:r>
      <w:proofErr w:type="spellEnd"/>
      <w:r>
        <w:rPr>
          <w:rStyle w:val="word-wrapper"/>
          <w:color w:val="242424"/>
          <w:sz w:val="30"/>
          <w:szCs w:val="30"/>
        </w:rPr>
        <w:t xml:space="preserve">) передается в составе согласно приложения 1 к постановлению № 17 (в действующей редакции), в систему маркировки – согласно подпункту 1.4 пункта 1 приложения 2  к постановлению № 17 </w:t>
      </w:r>
      <w:r>
        <w:rPr>
          <w:rStyle w:val="word-wrapper"/>
          <w:color w:val="242424"/>
          <w:sz w:val="30"/>
          <w:szCs w:val="30"/>
        </w:rPr>
        <w:br/>
        <w:t>(в действующей редакции).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2. </w:t>
      </w:r>
      <w:r>
        <w:rPr>
          <w:rStyle w:val="word-wrapper"/>
          <w:b/>
          <w:color w:val="242424"/>
          <w:sz w:val="30"/>
          <w:szCs w:val="30"/>
          <w:lang w:val="en-US"/>
        </w:rPr>
        <w:t>C</w:t>
      </w:r>
      <w:r>
        <w:rPr>
          <w:rStyle w:val="word-wrapper"/>
          <w:b/>
          <w:color w:val="242424"/>
          <w:sz w:val="30"/>
          <w:szCs w:val="30"/>
        </w:rPr>
        <w:t xml:space="preserve"> 01.03.2026 </w:t>
      </w:r>
      <w:r>
        <w:rPr>
          <w:sz w:val="30"/>
          <w:szCs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средствами идентификации в формате Data Matrix GS1. Информация в </w:t>
      </w:r>
      <w:proofErr w:type="spellStart"/>
      <w:r>
        <w:rPr>
          <w:rStyle w:val="word-wrapper"/>
          <w:color w:val="242424"/>
          <w:sz w:val="30"/>
          <w:szCs w:val="30"/>
          <w:lang w:val="en-US"/>
        </w:rPr>
        <w:t>ePass</w:t>
      </w:r>
      <w:proofErr w:type="spellEnd"/>
      <w:r>
        <w:rPr>
          <w:rStyle w:val="word-wrapper"/>
          <w:color w:val="242424"/>
          <w:sz w:val="30"/>
          <w:szCs w:val="30"/>
        </w:rPr>
        <w:t xml:space="preserve"> передается </w:t>
      </w:r>
      <w:r>
        <w:rPr>
          <w:sz w:val="30"/>
          <w:szCs w:val="30"/>
        </w:rPr>
        <w:t>в составе</w:t>
      </w:r>
      <w:r>
        <w:rPr>
          <w:rStyle w:val="word-wrapper"/>
          <w:color w:val="242424"/>
          <w:sz w:val="30"/>
          <w:szCs w:val="30"/>
        </w:rPr>
        <w:t xml:space="preserve"> согласно приложению 1 к настоящему разъяснению, в</w:t>
      </w:r>
      <w:r>
        <w:rPr>
          <w:sz w:val="30"/>
          <w:szCs w:val="30"/>
        </w:rPr>
        <w:t xml:space="preserve"> систему маркировки – согласно приложению 2 </w:t>
      </w:r>
      <w:r>
        <w:rPr>
          <w:rStyle w:val="word-wrapper"/>
          <w:color w:val="242424"/>
          <w:sz w:val="30"/>
          <w:szCs w:val="30"/>
        </w:rPr>
        <w:t>к настоящему разъяснению.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Порядок оборота </w:t>
      </w:r>
      <w:r>
        <w:rPr>
          <w:rStyle w:val="word-wrapper"/>
          <w:color w:val="242424"/>
          <w:sz w:val="30"/>
          <w:szCs w:val="30"/>
        </w:rPr>
        <w:t>предметов одежды из меха следующий.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lastRenderedPageBreak/>
        <w:t xml:space="preserve">1. До 01.03.2027 </w:t>
      </w:r>
      <w:r>
        <w:rPr>
          <w:rStyle w:val="word-wrapper"/>
          <w:color w:val="242424"/>
          <w:sz w:val="30"/>
          <w:szCs w:val="30"/>
        </w:rPr>
        <w:t xml:space="preserve">возможно осуществлять оборот предметов одежды из меха в рамках ЕАЭС, маркированных </w:t>
      </w:r>
      <w:r>
        <w:rPr>
          <w:rStyle w:val="word-wrapper"/>
          <w:b/>
          <w:bCs/>
          <w:color w:val="242424"/>
          <w:sz w:val="30"/>
          <w:szCs w:val="30"/>
        </w:rPr>
        <w:t>до 28.02.2026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>
      <w:pPr>
        <w:ind w:firstLine="709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</w:t>
      </w:r>
      <w:r>
        <w:rPr>
          <w:sz w:val="30"/>
          <w:szCs w:val="30"/>
        </w:rPr>
        <w:t xml:space="preserve">ввозе (вывозе) на территорию (с территории) Республики Беларусь до 01.03.2027 предметов одежды из меха, маркированных средствами идентификации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в систему маркировки передается информация в составе согласно подпунктам 1.4.1-1.4.3, 1.4.7, 1.4.8, 1.4.9, 1.4.10 приложения 1 к постановлению № 17 (в </w:t>
      </w:r>
      <w:r>
        <w:rPr>
          <w:rStyle w:val="word-wrapper"/>
          <w:color w:val="242424"/>
          <w:sz w:val="30"/>
          <w:szCs w:val="30"/>
        </w:rPr>
        <w:t xml:space="preserve">действующей </w:t>
      </w:r>
      <w:r>
        <w:rPr>
          <w:sz w:val="30"/>
          <w:szCs w:val="30"/>
        </w:rPr>
        <w:t>редакции). В отношении товаров, маркированных средствами идентификации после 01.03.2026, в систему маркировки передается информация согласно пунктам 1-3, 8-11 приложения 2 к настоящему разъяснению.</w:t>
      </w:r>
    </w:p>
    <w:p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производстве, </w:t>
      </w:r>
      <w:proofErr w:type="spellStart"/>
      <w:r>
        <w:rPr>
          <w:sz w:val="30"/>
          <w:szCs w:val="30"/>
        </w:rPr>
        <w:t>перемаркировке</w:t>
      </w:r>
      <w:proofErr w:type="spellEnd"/>
      <w:r>
        <w:rPr>
          <w:sz w:val="30"/>
          <w:szCs w:val="30"/>
        </w:rPr>
        <w:t xml:space="preserve"> товаров, возвращенных покупателями, комиссионной торговле, устанавливается состав информации, предусмотренной пунктами 4 – 7 и 12 приложения 2 к настоящему разъяснению;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2. С 01.03.2027 </w:t>
      </w:r>
      <w:r>
        <w:rPr>
          <w:rStyle w:val="word-wrapper"/>
          <w:color w:val="242424"/>
          <w:sz w:val="30"/>
          <w:szCs w:val="30"/>
        </w:rPr>
        <w:t xml:space="preserve">на территории ЕАЭС допускается оборот предметов одежды из меха, маркированных только средствами идентификации. Соответственно, маркированные до 28.02.2026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при их вывозе в другие государства-члены ЕАЭС подлежат </w:t>
      </w:r>
      <w:proofErr w:type="spellStart"/>
      <w:r>
        <w:rPr>
          <w:rStyle w:val="word-wrapper"/>
          <w:color w:val="242424"/>
          <w:sz w:val="30"/>
          <w:szCs w:val="30"/>
        </w:rPr>
        <w:t>перемаркировке</w:t>
      </w:r>
      <w:proofErr w:type="spellEnd"/>
      <w:r>
        <w:rPr>
          <w:rStyle w:val="word-wrapper"/>
          <w:color w:val="242424"/>
          <w:sz w:val="30"/>
          <w:szCs w:val="30"/>
        </w:rPr>
        <w:t xml:space="preserve"> средствами идентификации.</w:t>
      </w:r>
    </w:p>
    <w:p>
      <w:pPr>
        <w:ind w:firstLine="709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свою очередь </w:t>
      </w:r>
      <w:r>
        <w:rPr>
          <w:rStyle w:val="word-wrapper"/>
          <w:b/>
          <w:color w:val="242424"/>
          <w:sz w:val="30"/>
          <w:szCs w:val="30"/>
        </w:rPr>
        <w:t xml:space="preserve">в Республике Беларусь </w:t>
      </w:r>
      <w:r>
        <w:rPr>
          <w:rStyle w:val="word-wrapper"/>
          <w:color w:val="242424"/>
          <w:sz w:val="30"/>
          <w:szCs w:val="30"/>
        </w:rPr>
        <w:t xml:space="preserve">маркированные до 28.02.2026 (включительно)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</w:t>
      </w:r>
      <w:proofErr w:type="spellStart"/>
      <w:r>
        <w:rPr>
          <w:rStyle w:val="word-wrapper"/>
          <w:color w:val="242424"/>
          <w:sz w:val="30"/>
          <w:szCs w:val="30"/>
        </w:rPr>
        <w:t>перемаркировке</w:t>
      </w:r>
      <w:proofErr w:type="spellEnd"/>
      <w:r>
        <w:rPr>
          <w:rStyle w:val="word-wrapper"/>
          <w:color w:val="242424"/>
          <w:sz w:val="30"/>
          <w:szCs w:val="30"/>
        </w:rPr>
        <w:t xml:space="preserve"> средствами идентификации не подлежат, если их оборот будет осуществляться только на территории Республики Беларусь. 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>
      <w:pPr>
        <w:ind w:firstLine="709"/>
        <w:jc w:val="both"/>
        <w:rPr>
          <w:sz w:val="30"/>
          <w:szCs w:val="30"/>
        </w:rPr>
      </w:pPr>
    </w:p>
    <w:p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1</w:t>
      </w:r>
    </w:p>
    <w:p>
      <w:pPr>
        <w:pStyle w:val="p-normal"/>
        <w:spacing w:before="0" w:beforeAutospacing="0" w:after="0" w:afterAutospacing="0" w:line="280" w:lineRule="exact"/>
        <w:ind w:right="4109"/>
        <w:jc w:val="both"/>
        <w:rPr>
          <w:b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>Состав обязательной информации</w:t>
      </w:r>
      <w:r>
        <w:rPr>
          <w:b/>
          <w:sz w:val="30"/>
          <w:szCs w:val="30"/>
        </w:rPr>
        <w:t xml:space="preserve"> вносимой в межведомственную распределенную информационную </w:t>
      </w:r>
      <w:proofErr w:type="gramStart"/>
      <w:r>
        <w:rPr>
          <w:b/>
          <w:sz w:val="30"/>
          <w:szCs w:val="30"/>
        </w:rPr>
        <w:t>систему ”Банк</w:t>
      </w:r>
      <w:proofErr w:type="gramEnd"/>
      <w:r>
        <w:rPr>
          <w:b/>
          <w:sz w:val="30"/>
          <w:szCs w:val="30"/>
        </w:rPr>
        <w:t xml:space="preserve"> данных электронных паспортов товаров“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tbl>
      <w:tblPr>
        <w:tblW w:w="5000" w:type="pct"/>
        <w:tblInd w:w="-14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8"/>
        <w:gridCol w:w="5088"/>
      </w:tblGrid>
      <w:tr>
        <w:trPr>
          <w:trHeight w:val="477"/>
          <w:tblHeader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Состав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Примечание</w:t>
            </w:r>
          </w:p>
        </w:tc>
      </w:tr>
      <w:tr>
        <w:trPr>
          <w:trHeight w:val="477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GTIN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rPr>
                <w:i/>
                <w:iCs/>
                <w:sz w:val="26"/>
                <w:szCs w:val="26"/>
              </w:rPr>
            </w:pP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товара по ТН ВЭД ЕАЭС (10 знаков)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ТН ВЭД ЕАЭС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Функциональное наименование товара (вид товара)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Функциональное наименование — это слово или словосочетание, позволяющие потребителю понять, что представляет собой товар, его основное предназначение и (или) как он может быть использован. Например: ”шуба“, ”жилетка“ и т.д.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происхождения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происхождения (производства) товара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регистрации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страны регистрации субъекта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Разновидность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Цвет, размер, модель и иные отличительные признаки товара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Бренд (торговая марка)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товарном знаке (бренде, торговой марке)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 на этикетке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товара, указанное на этикетке/ярлыке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Формируется в свободной форме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Модель (артикул)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”Модель/Артикул“ производителя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вид меха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основной мех, который составляет наибольшее количественное соотношение в изделии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Является ли мех крашенным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Признак принимает значение:</w:t>
            </w:r>
          </w:p>
          <w:p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”да</w:t>
            </w:r>
            <w:proofErr w:type="gramEnd"/>
            <w:r>
              <w:rPr>
                <w:sz w:val="26"/>
                <w:szCs w:val="26"/>
              </w:rPr>
              <w:t xml:space="preserve">“ – если мех является крашенным; 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”нет“ - если мех не является крашенным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Состав сырья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Содержит описание элементов, ингредиентов, входящих в состав товара, указанных в процентах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Целевой пол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Целевой пол потребителя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указания размера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указания размеров одежды/изделия (рост, обхват груди, обхват талии, длина, ширина, Россия, Европа и т.д.)</w:t>
            </w:r>
          </w:p>
        </w:tc>
      </w:tr>
      <w:tr>
        <w:trPr>
          <w:trHeight w:val="983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Указывается размер одежды/изделия согласно выбранному типу указания размера одежды/изделия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Идентификатор налогоплательщика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УНП предоставившего информацию о товаре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GLN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производителя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субъекта хозяйствования, который произвел товар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регистрации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страны регистрации производителя</w:t>
            </w:r>
          </w:p>
        </w:tc>
      </w:tr>
      <w:tr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Идентификатор налогоплательщика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обязательна для товаров, произведенных в государствах - членах ЕАЭС.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Идентификаторы налогоплательщика: Республика Армения - учетный номер налогоплательщика (УНН), Республика Беларусь - УНП, Республика Казахстан - индивидуальный идентификационный номер (ИИН) или бизнес-идентификационный номер (БИН), Кыргызская Республика - идентификационный налоговый номер налогоплательщика (ИНН), Российская Федерация - идентификационный номер налогоплательщика (ИНН)</w:t>
            </w:r>
          </w:p>
        </w:tc>
      </w:tr>
      <w:tr>
        <w:trPr>
          <w:trHeight w:val="705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GLN производителя товара (при наличии).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rPr>
                <w:sz w:val="26"/>
                <w:szCs w:val="26"/>
              </w:rPr>
            </w:pPr>
          </w:p>
        </w:tc>
      </w:tr>
    </w:tbl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2</w:t>
      </w:r>
    </w:p>
    <w:p>
      <w:pPr>
        <w:ind w:firstLine="709"/>
        <w:jc w:val="right"/>
        <w:rPr>
          <w:rStyle w:val="word-wrapper"/>
          <w:color w:val="242424"/>
          <w:sz w:val="30"/>
          <w:szCs w:val="30"/>
        </w:rPr>
      </w:pPr>
    </w:p>
    <w:p>
      <w:pPr>
        <w:spacing w:line="280" w:lineRule="exact"/>
        <w:ind w:right="3402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>Состав информации в отношении нанесенных на предметы одежды из меха средств идентификации, вносимой в систему маркировки</w:t>
      </w:r>
    </w:p>
    <w:p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>
        <w:trPr>
          <w:tblHeader/>
        </w:trPr>
        <w:tc>
          <w:tcPr>
            <w:tcW w:w="4814" w:type="dxa"/>
            <w:vAlign w:val="center"/>
          </w:tcPr>
          <w:p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информации</w:t>
            </w:r>
          </w:p>
        </w:tc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сведений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При ввозе на территорию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организации-продавца, фамилия, собственное имя, отчество (если таковое имеется) индивидуального предпринимателя-продавца;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и дата документа, подтверждающего приобретение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 **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При вывозе с территории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сведения о документах об оценке соответствия, предусмотренных техническими регламентами ЕАЭС либо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При ввозе на территорию Республики Беларусь и выпуске товаров таможенным органом Республики Беларусь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договорные отношения между владельцем кода маркировки (средства идентификации) и лицом, которое ввозит маркированный товар (при ввозе товара с нанесенным средством идентификации, эмитированным в государстве - члене ЕАЭС);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При производстве товаров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тип производственного заказа (собственное производство, контрактное производство);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При производстве товаров в рамках контрактного производства на территории Республики Беларусь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организации-заказчика, фамилия, собственное имя, отчество (если таковое имеется) индивидуального предпринимателя-заказчика, номер налогоплательщика*;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код страны заказчика;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производственного заказа (собственное производство, контрактное производство);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производства товара;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 При возврате товаров покупателями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возврат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При комиссионной торговле товарами на основании заключенных с физическими лицами, не являющимися индивидуальными предпринимателями, договоров комиссии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договора комиссии;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При продаже (перемещении) товаров в рамках трансграничной торговли (заполняется грузоотправителем при отсутствии в системе маркировки информации о принадлежности ему кодов маркировки для товара, продаваемого (перемещаемого) в рамках трансграничной торговли)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</w:tr>
      <w:tr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 При вывозе товаров в целях, не связанных с трансграничной торговлей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импорта;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 (при </w:t>
            </w:r>
            <w:proofErr w:type="gram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наличии)*</w:t>
            </w:r>
            <w:proofErr w:type="gramEnd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товара,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 об оценке соответствия, предусмотренных техническими регламентами ЕАЭС либо 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адрес местонахождения товара</w:t>
            </w:r>
          </w:p>
        </w:tc>
      </w:tr>
      <w:tr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При возврате товаров (их части),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страны вывоза;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налогоплательщика* (при наличии);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номер сопроводительного документа;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 При реализации на территории другого государства - члена ЕАЭС товаров,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вывоза;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предпринимателя-покупателя, номер налогоплательщика* (при наличии);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При производстве товаров в рамках контрактного производства на территории государства - члена ЕАЭС по заказу субъекта хозяйствования</w:t>
            </w:r>
          </w:p>
        </w:tc>
        <w:tc>
          <w:tcPr>
            <w:tcW w:w="4814" w:type="dxa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производства товара;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организации-производителя, фамилия, собственное имя, отчество (если таковое имеется) индивидуального предпринимателя-производителя, номер налогоплательщика*;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страны производителя;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</w:p>
        </w:tc>
      </w:tr>
    </w:tbl>
    <w:p>
      <w:pPr>
        <w:ind w:firstLine="709"/>
        <w:jc w:val="both"/>
        <w:rPr>
          <w:sz w:val="30"/>
          <w:szCs w:val="30"/>
        </w:rPr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</w:t>
      </w:r>
    </w:p>
    <w:p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lastRenderedPageBreak/>
        <w:t>*</w:t>
      </w:r>
      <w:r>
        <w:rPr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Для Республики Армения - учетный номер налогоплательщика (УНН), для Республики Казахстан - индивидуальный идентификационный номер (ИИН) или бизнес-идентификационный номер (БИН), для Кыргызской Республики - идентификационный налоговый номер налогоплательщика (ИНН), для Российской Федерации - идентификационный номер налогоплательщика (ИНН);</w:t>
      </w:r>
    </w:p>
    <w:p>
      <w:pPr>
        <w:ind w:firstLine="709"/>
        <w:jc w:val="both"/>
        <w:rPr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** При отсутствии </w:t>
      </w:r>
      <w:proofErr w:type="spellStart"/>
      <w:r>
        <w:rPr>
          <w:rStyle w:val="word-wrapper"/>
          <w:color w:val="242424"/>
          <w:sz w:val="30"/>
          <w:szCs w:val="30"/>
        </w:rPr>
        <w:t>межоператорского</w:t>
      </w:r>
      <w:proofErr w:type="spellEnd"/>
      <w:r>
        <w:rPr>
          <w:rStyle w:val="word-wrapper"/>
          <w:color w:val="242424"/>
          <w:sz w:val="30"/>
          <w:szCs w:val="30"/>
        </w:rPr>
        <w:t xml:space="preserve"> взаимодействия указывается для товаров, ввозимых из государств - членов ЕАЭС, где маркировка товаров средствами идентификации не введена.</w:t>
      </w:r>
    </w:p>
    <w:p/>
    <w:p>
      <w:pPr>
        <w:pStyle w:val="a6"/>
        <w:spacing w:line="280" w:lineRule="exact"/>
        <w:jc w:val="right"/>
        <w:rPr>
          <w:szCs w:val="30"/>
        </w:rPr>
      </w:pPr>
      <w:r>
        <w:rPr>
          <w:szCs w:val="30"/>
        </w:rPr>
        <w:t xml:space="preserve">Пресс-центр инспекции </w:t>
      </w:r>
    </w:p>
    <w:p>
      <w:pPr>
        <w:pStyle w:val="a6"/>
        <w:spacing w:line="280" w:lineRule="exact"/>
        <w:jc w:val="right"/>
        <w:rPr>
          <w:szCs w:val="30"/>
        </w:rPr>
      </w:pPr>
      <w:r>
        <w:rPr>
          <w:szCs w:val="30"/>
        </w:rPr>
        <w:t xml:space="preserve">МНС Республики Беларусь </w:t>
      </w:r>
    </w:p>
    <w:p>
      <w:pPr>
        <w:pStyle w:val="a6"/>
        <w:spacing w:line="280" w:lineRule="exact"/>
        <w:jc w:val="right"/>
        <w:rPr>
          <w:szCs w:val="30"/>
        </w:rPr>
      </w:pPr>
      <w:r>
        <w:rPr>
          <w:szCs w:val="30"/>
        </w:rPr>
        <w:t xml:space="preserve">по Могилевской области </w:t>
      </w:r>
    </w:p>
    <w:p/>
    <w:sectPr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0164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5E0B6-B6C5-43E1-ACC5-56152DB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p-normal">
    <w:name w:val="p-normal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pPr>
      <w:ind w:firstLine="709"/>
      <w:jc w:val="both"/>
    </w:pPr>
    <w:rPr>
      <w:sz w:val="3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Симченко Виктория Александровна</cp:lastModifiedBy>
  <cp:revision>3</cp:revision>
  <cp:lastPrinted>2026-02-26T05:34:00Z</cp:lastPrinted>
  <dcterms:created xsi:type="dcterms:W3CDTF">2026-02-25T12:07:00Z</dcterms:created>
  <dcterms:modified xsi:type="dcterms:W3CDTF">2026-02-26T05:35:00Z</dcterms:modified>
</cp:coreProperties>
</file>